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085A6D" w:rsidP="009250CB">
      <w:pPr>
        <w:jc w:val="center"/>
        <w:rPr>
          <w:sz w:val="24"/>
        </w:rPr>
      </w:pPr>
      <w:r w:rsidRPr="00AE2797">
        <w:rPr>
          <w:sz w:val="24"/>
        </w:rPr>
        <w:t xml:space="preserve">LEKARZ 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D50729">
        <w:rPr>
          <w:rFonts w:ascii="Times New Roman" w:hAnsi="Times New Roman" w:cs="Times New Roman"/>
          <w:sz w:val="24"/>
          <w:szCs w:val="24"/>
        </w:rPr>
        <w:t xml:space="preserve"> 20/2020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D50729" w:rsidRPr="00D50729">
        <w:rPr>
          <w:sz w:val="24"/>
          <w:szCs w:val="24"/>
          <w:u w:val="single"/>
        </w:rPr>
        <w:t xml:space="preserve">w ramach dyżurów </w:t>
      </w:r>
      <w:r w:rsidRPr="00D50729">
        <w:rPr>
          <w:sz w:val="24"/>
          <w:szCs w:val="24"/>
          <w:u w:val="single"/>
        </w:rPr>
        <w:t xml:space="preserve">czynności </w:t>
      </w:r>
      <w:r w:rsidR="00D50729" w:rsidRPr="00D50729">
        <w:rPr>
          <w:sz w:val="24"/>
          <w:szCs w:val="24"/>
          <w:u w:val="single"/>
        </w:rPr>
        <w:t xml:space="preserve">lekarza w trakcie specjalizacji z chirurgii naczyniowej </w:t>
      </w:r>
      <w:r w:rsidR="002A1B99" w:rsidRPr="00D50729">
        <w:rPr>
          <w:sz w:val="24"/>
          <w:szCs w:val="24"/>
          <w:u w:val="single"/>
        </w:rPr>
        <w:t xml:space="preserve">w </w:t>
      </w:r>
      <w:r w:rsidR="00D50729" w:rsidRPr="00D50729">
        <w:rPr>
          <w:sz w:val="24"/>
          <w:szCs w:val="24"/>
          <w:u w:val="single"/>
        </w:rPr>
        <w:t xml:space="preserve">Klinicznym Oddziale Chirurgii Naczyniowej </w:t>
      </w:r>
      <w:r w:rsidR="009D38F2">
        <w:rPr>
          <w:sz w:val="24"/>
          <w:szCs w:val="24"/>
          <w:u w:val="single"/>
        </w:rPr>
        <w:t xml:space="preserve">oraz w Oddziale </w:t>
      </w:r>
      <w:r w:rsidR="0096095C">
        <w:rPr>
          <w:sz w:val="24"/>
          <w:szCs w:val="24"/>
          <w:u w:val="single"/>
        </w:rPr>
        <w:t xml:space="preserve"> </w:t>
      </w:r>
      <w:r w:rsidR="0018219D">
        <w:rPr>
          <w:sz w:val="24"/>
          <w:szCs w:val="24"/>
          <w:u w:val="single"/>
        </w:rPr>
        <w:t xml:space="preserve">OZC-19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p</w:t>
      </w:r>
      <w:r w:rsidR="00D50729">
        <w:rPr>
          <w:sz w:val="24"/>
          <w:szCs w:val="24"/>
          <w:lang w:eastAsia="pl-PL"/>
        </w:rPr>
        <w:t xml:space="preserve">rowadzenie opieki nad chorymi przebywającymi w </w:t>
      </w:r>
      <w:r>
        <w:rPr>
          <w:sz w:val="24"/>
          <w:szCs w:val="24"/>
          <w:lang w:eastAsia="pl-PL"/>
        </w:rPr>
        <w:t>Oddziale</w:t>
      </w:r>
      <w:r w:rsidR="00D50729">
        <w:rPr>
          <w:lang w:eastAsia="pl-PL"/>
        </w:rPr>
        <w:t>,</w:t>
      </w:r>
    </w:p>
    <w:p w:rsidR="00D50729" w:rsidRPr="00D50729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k</w:t>
      </w:r>
      <w:r w:rsidR="00D50729">
        <w:rPr>
          <w:sz w:val="24"/>
          <w:szCs w:val="24"/>
          <w:lang w:eastAsia="pl-PL"/>
        </w:rPr>
        <w:t>walifikacja do zabiegów operacyjnych w trybie ostrym,</w:t>
      </w:r>
    </w:p>
    <w:p w:rsidR="00210306" w:rsidRPr="00210306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p</w:t>
      </w:r>
      <w:r w:rsidR="00D50729">
        <w:rPr>
          <w:sz w:val="24"/>
          <w:szCs w:val="24"/>
          <w:lang w:eastAsia="pl-PL"/>
        </w:rPr>
        <w:t>rowadzenie dokumentacji medycznej</w:t>
      </w:r>
      <w:r>
        <w:rPr>
          <w:sz w:val="24"/>
          <w:szCs w:val="24"/>
          <w:lang w:eastAsia="pl-PL"/>
        </w:rPr>
        <w:t xml:space="preserve"> zgodnie ze standardami 4WSK,</w:t>
      </w:r>
    </w:p>
    <w:p w:rsidR="00210306" w:rsidRPr="00210306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 xml:space="preserve">konsultacje </w:t>
      </w:r>
      <w:proofErr w:type="spellStart"/>
      <w:r>
        <w:rPr>
          <w:sz w:val="24"/>
          <w:szCs w:val="24"/>
          <w:lang w:eastAsia="pl-PL"/>
        </w:rPr>
        <w:t>angiochirurgiczne</w:t>
      </w:r>
      <w:proofErr w:type="spellEnd"/>
      <w:r>
        <w:rPr>
          <w:sz w:val="24"/>
          <w:szCs w:val="24"/>
          <w:lang w:eastAsia="pl-PL"/>
        </w:rPr>
        <w:t xml:space="preserve"> w SOR i innych oddziałach 4WSK,</w:t>
      </w:r>
    </w:p>
    <w:p w:rsidR="00210306" w:rsidRPr="00210306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udział w procedurze pobrań i przeszczepów,</w:t>
      </w:r>
    </w:p>
    <w:p w:rsidR="00210306" w:rsidRPr="00210306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udział w identyfikacji dawcy zmarłego,</w:t>
      </w:r>
    </w:p>
    <w:p w:rsidR="009250CB" w:rsidRPr="00790BE9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udział w opiece nad dawcą od stwierdzenia śmierci mózgu lub zgonu w skutek nieodwracalnego zatrzymania krążenia do pobrania narządu lub narządów.</w:t>
      </w:r>
      <w:r w:rsidR="009250CB" w:rsidRPr="00D50729">
        <w:rPr>
          <w:sz w:val="24"/>
          <w:szCs w:val="24"/>
          <w:lang w:eastAsia="pl-PL"/>
        </w:rPr>
        <w:t xml:space="preserve"> </w:t>
      </w:r>
    </w:p>
    <w:p w:rsidR="009250CB" w:rsidRPr="00790BE9" w:rsidRDefault="009250CB" w:rsidP="00210306">
      <w:pPr>
        <w:jc w:val="both"/>
        <w:rPr>
          <w:lang w:eastAsia="pl-PL"/>
        </w:rPr>
      </w:pP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210306">
        <w:rPr>
          <w:rFonts w:ascii="Times New Roman" w:hAnsi="Times New Roman" w:cs="Times New Roman"/>
          <w:color w:val="000000"/>
          <w:sz w:val="24"/>
        </w:rPr>
        <w:t>Klinicznego Oddziału Chirurgii Nacz</w:t>
      </w:r>
      <w:r w:rsidR="0018219D">
        <w:rPr>
          <w:rFonts w:ascii="Times New Roman" w:hAnsi="Times New Roman" w:cs="Times New Roman"/>
          <w:color w:val="000000"/>
          <w:sz w:val="24"/>
        </w:rPr>
        <w:t>yniowej.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minimalnie</w:t>
      </w:r>
      <w:r w:rsidR="0021030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24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21030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100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>o zawodzie lekarza i lek</w:t>
      </w:r>
      <w:r w:rsidR="009D36F4">
        <w:rPr>
          <w:rFonts w:eastAsia="Calibri"/>
          <w:sz w:val="24"/>
          <w:szCs w:val="24"/>
          <w:lang w:eastAsia="en-US"/>
        </w:rPr>
        <w:t>arza dentysty (tj. Dz. U. z 2020 r. poz.514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lastRenderedPageBreak/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D24E2A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 Klinicznego Oddziału Chirurgii Naczyniowej oraz Kierownik Oddziału OZC-19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</w:t>
      </w:r>
      <w:r w:rsidR="0018219D">
        <w:rPr>
          <w:sz w:val="24"/>
        </w:rPr>
        <w:t>z</w:t>
      </w:r>
      <w:r w:rsidRPr="000C605F">
        <w:rPr>
          <w:sz w:val="24"/>
        </w:rPr>
        <w:t>y w sprawach związanych</w:t>
      </w:r>
      <w:r w:rsidR="00210306">
        <w:rPr>
          <w:sz w:val="24"/>
        </w:rPr>
        <w:t xml:space="preserve"> z funkcjonowaniem </w:t>
      </w:r>
      <w:r w:rsidRPr="000C605F">
        <w:rPr>
          <w:sz w:val="24"/>
        </w:rPr>
        <w:t>oddziału okr</w:t>
      </w:r>
      <w:r w:rsidR="0018219D">
        <w:rPr>
          <w:sz w:val="24"/>
        </w:rPr>
        <w:t>eślonego w §1 umowy reprezentują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lastRenderedPageBreak/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:rsidR="009250CB" w:rsidRPr="00AE2797" w:rsidRDefault="003228EA" w:rsidP="0074271A">
      <w:p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udostępniania pełnej prowadzonej przez siebie i posiadanej  dokumentacji.</w:t>
      </w:r>
    </w:p>
    <w:p w:rsidR="009250CB" w:rsidRPr="00AE2797" w:rsidRDefault="009250CB" w:rsidP="009250CB">
      <w:pPr>
        <w:ind w:left="397"/>
        <w:jc w:val="both"/>
        <w:rPr>
          <w:sz w:val="24"/>
        </w:rPr>
      </w:pPr>
    </w:p>
    <w:p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:rsidR="00AC70FF" w:rsidRPr="00B0540B" w:rsidRDefault="00AC70FF" w:rsidP="00AC70FF">
      <w:pPr>
        <w:pStyle w:val="Akapitzlist"/>
        <w:numPr>
          <w:ilvl w:val="0"/>
          <w:numId w:val="39"/>
        </w:numPr>
        <w:suppressAutoHyphens w:val="0"/>
        <w:ind w:left="993"/>
        <w:contextualSpacing w:val="0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wynagrodzenie za czynności określone </w:t>
      </w:r>
      <w:r w:rsidRPr="00AC70FF">
        <w:rPr>
          <w:sz w:val="24"/>
        </w:rPr>
        <w:t xml:space="preserve">w </w:t>
      </w:r>
      <w:r w:rsidR="00B06176" w:rsidRPr="00AE2797">
        <w:rPr>
          <w:sz w:val="24"/>
        </w:rPr>
        <w:t>§</w:t>
      </w:r>
      <w:r w:rsidR="00B06176">
        <w:rPr>
          <w:sz w:val="24"/>
        </w:rPr>
        <w:t>1 ust.3e</w:t>
      </w:r>
      <w:r w:rsidRPr="00AC70FF">
        <w:rPr>
          <w:sz w:val="24"/>
        </w:rPr>
        <w:t xml:space="preserve">  Zleceniodawca</w:t>
      </w:r>
      <w:r>
        <w:rPr>
          <w:sz w:val="24"/>
        </w:rPr>
        <w:t xml:space="preserve"> wypłaci zgodnie z algorytmem aktualnie zatwierdzonym przez Komendanta 4.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 ZOZ, po przedłożeniu rachunku wraz z rozliczeniem przeszczepów zatwierdzonym przez  </w:t>
      </w:r>
      <w:r w:rsidR="001729E8">
        <w:rPr>
          <w:sz w:val="24"/>
        </w:rPr>
        <w:t>Kierownika Klinicznego Oddziału Chirurgii Transplantacyjnej.</w:t>
      </w:r>
    </w:p>
    <w:p w:rsidR="00AC70FF" w:rsidRPr="003F4E8E" w:rsidRDefault="00AC70FF" w:rsidP="00AC70FF">
      <w:pPr>
        <w:pStyle w:val="Akapitzlist"/>
        <w:numPr>
          <w:ilvl w:val="0"/>
          <w:numId w:val="39"/>
        </w:numPr>
        <w:suppressAutoHyphens w:val="0"/>
        <w:ind w:left="993"/>
        <w:contextualSpacing w:val="0"/>
        <w:jc w:val="both"/>
        <w:rPr>
          <w:sz w:val="24"/>
          <w:szCs w:val="24"/>
        </w:rPr>
      </w:pPr>
      <w:r w:rsidRPr="003F4E8E">
        <w:rPr>
          <w:sz w:val="24"/>
          <w:szCs w:val="24"/>
          <w:lang w:eastAsia="pl-PL"/>
        </w:rPr>
        <w:t>wynagrodzenie 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</w:t>
      </w:r>
    </w:p>
    <w:p w:rsidR="00AC70FF" w:rsidRPr="00AC70FF" w:rsidRDefault="00AC70FF" w:rsidP="00AC70FF">
      <w:pPr>
        <w:pStyle w:val="Akapitzlist"/>
        <w:ind w:left="993"/>
        <w:jc w:val="both"/>
        <w:rPr>
          <w:sz w:val="24"/>
        </w:rPr>
      </w:pP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>Kierownika Klinicznego Oddziału Chirurgii Naczyniowej oraz Kierownika Oddziału OZC-19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EC47FE">
        <w:rPr>
          <w:sz w:val="24"/>
          <w:szCs w:val="24"/>
        </w:rPr>
        <w:t>Kierownika Klinicznego Oddziału Chirurgii Naczyniowej oraz Kierownika Oddziału OZC-19.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bookmarkStart w:id="0" w:name="_GoBack"/>
      <w:bookmarkEnd w:id="0"/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</w:t>
      </w:r>
      <w:r w:rsidR="00AB32C9" w:rsidRPr="00C5334E">
        <w:rPr>
          <w:color w:val="auto"/>
          <w:sz w:val="24"/>
        </w:rPr>
        <w:lastRenderedPageBreak/>
        <w:t xml:space="preserve">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9D" w:rsidRDefault="0018219D">
      <w:r>
        <w:separator/>
      </w:r>
    </w:p>
  </w:endnote>
  <w:endnote w:type="continuationSeparator" w:id="0">
    <w:p w:rsidR="0018219D" w:rsidRDefault="0018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19D" w:rsidRDefault="0018219D">
    <w:pPr>
      <w:pStyle w:val="Stopka"/>
      <w:jc w:val="center"/>
    </w:pPr>
    <w:fldSimple w:instr=" PAGE ">
      <w:r w:rsidR="00EC47FE">
        <w:rPr>
          <w:noProof/>
        </w:rPr>
        <w:t>2</w:t>
      </w:r>
    </w:fldSimple>
  </w:p>
  <w:p w:rsidR="0018219D" w:rsidRDefault="00182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9D" w:rsidRDefault="0018219D">
      <w:r>
        <w:separator/>
      </w:r>
    </w:p>
  </w:footnote>
  <w:footnote w:type="continuationSeparator" w:id="0">
    <w:p w:rsidR="0018219D" w:rsidRDefault="00182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CB"/>
    <w:rsid w:val="00000F2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1848"/>
    <w:rsid w:val="0090102D"/>
    <w:rsid w:val="009250CB"/>
    <w:rsid w:val="009463EE"/>
    <w:rsid w:val="00954E3B"/>
    <w:rsid w:val="0096095C"/>
    <w:rsid w:val="009740AF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97F6F"/>
    <w:rsid w:val="00AB32C9"/>
    <w:rsid w:val="00AC70FF"/>
    <w:rsid w:val="00AE2797"/>
    <w:rsid w:val="00AF4A25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C3ACA"/>
    <w:rsid w:val="00BF114B"/>
    <w:rsid w:val="00C117F4"/>
    <w:rsid w:val="00C2721F"/>
    <w:rsid w:val="00C32F87"/>
    <w:rsid w:val="00C47575"/>
    <w:rsid w:val="00C5205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5499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35E7-120D-436A-A09D-D4D665F2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3007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5</cp:revision>
  <cp:lastPrinted>2020-06-25T08:46:00Z</cp:lastPrinted>
  <dcterms:created xsi:type="dcterms:W3CDTF">2020-11-10T11:48:00Z</dcterms:created>
  <dcterms:modified xsi:type="dcterms:W3CDTF">2020-11-18T11:16:00Z</dcterms:modified>
</cp:coreProperties>
</file>