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AB" w:rsidRPr="004657AB" w:rsidRDefault="004657AB" w:rsidP="004657AB">
      <w:pPr>
        <w:ind w:left="708" w:right="388"/>
        <w:jc w:val="right"/>
        <w:rPr>
          <w:b/>
          <w:i/>
          <w:sz w:val="20"/>
          <w:szCs w:val="20"/>
        </w:rPr>
      </w:pPr>
      <w:r w:rsidRPr="004657AB">
        <w:rPr>
          <w:b/>
          <w:i/>
          <w:sz w:val="20"/>
          <w:szCs w:val="20"/>
        </w:rPr>
        <w:t>Załącznik nr 2</w:t>
      </w:r>
      <w:r w:rsidRPr="004657AB">
        <w:rPr>
          <w:b/>
          <w:i/>
          <w:sz w:val="20"/>
          <w:szCs w:val="20"/>
        </w:rPr>
        <w:t xml:space="preserve"> – Modyfikacja </w:t>
      </w:r>
      <w:r w:rsidRPr="004657AB">
        <w:rPr>
          <w:b/>
          <w:i/>
          <w:sz w:val="20"/>
          <w:szCs w:val="20"/>
          <w:u w:val="single"/>
        </w:rPr>
        <w:t>Pakiet 1 z dn. 22.02.2017</w:t>
      </w:r>
    </w:p>
    <w:p w:rsidR="004657AB" w:rsidRPr="00170784" w:rsidRDefault="004657AB" w:rsidP="004657AB">
      <w:pPr>
        <w:ind w:right="388"/>
        <w:jc w:val="center"/>
        <w:rPr>
          <w:b/>
          <w:sz w:val="20"/>
          <w:szCs w:val="20"/>
          <w:u w:val="double"/>
        </w:rPr>
      </w:pPr>
      <w:r w:rsidRPr="00170784">
        <w:rPr>
          <w:b/>
          <w:sz w:val="20"/>
          <w:szCs w:val="20"/>
          <w:u w:val="double"/>
        </w:rPr>
        <w:t>ZESTAWIENIE ASORTYMENTOWO – CENOWE</w:t>
      </w:r>
    </w:p>
    <w:p w:rsidR="004657AB" w:rsidRDefault="004657AB" w:rsidP="004657AB">
      <w:pPr>
        <w:pStyle w:val="Tekstpodstawowywcity"/>
        <w:ind w:left="0"/>
        <w:jc w:val="both"/>
        <w:rPr>
          <w:i/>
          <w:sz w:val="18"/>
          <w:szCs w:val="18"/>
        </w:rPr>
      </w:pPr>
      <w:r w:rsidRPr="00170784">
        <w:rPr>
          <w:i/>
          <w:sz w:val="18"/>
          <w:szCs w:val="18"/>
        </w:rPr>
        <w:t xml:space="preserve">Cena brutto (PLN) – otrzymujemy ze wzoru: Wartość jednostkowa netto(PLN) razy Ilość </w:t>
      </w:r>
      <w:r>
        <w:rPr>
          <w:i/>
          <w:sz w:val="18"/>
          <w:szCs w:val="18"/>
        </w:rPr>
        <w:t>op/szt.na 12 miesięcy</w:t>
      </w:r>
      <w:r w:rsidRPr="00170784">
        <w:rPr>
          <w:i/>
          <w:sz w:val="18"/>
          <w:szCs w:val="18"/>
        </w:rPr>
        <w:t xml:space="preserve"> – daje Wartość netto (PLN), z której to wartości liczymy podatek vat i po dodaniu kwoty podatku vat do wa</w:t>
      </w:r>
      <w:r>
        <w:rPr>
          <w:i/>
          <w:sz w:val="18"/>
          <w:szCs w:val="18"/>
        </w:rPr>
        <w:t>rtości netto otrzymujemy Cenę b, poz nr 4</w:t>
      </w:r>
      <w:r w:rsidRPr="00170784">
        <w:rPr>
          <w:i/>
          <w:sz w:val="18"/>
          <w:szCs w:val="18"/>
        </w:rPr>
        <w:t>utto (PLN).</w:t>
      </w:r>
    </w:p>
    <w:p w:rsidR="004657AB" w:rsidRPr="004657AB" w:rsidRDefault="004657AB" w:rsidP="004657AB">
      <w:pPr>
        <w:jc w:val="both"/>
        <w:rPr>
          <w:b/>
          <w:sz w:val="20"/>
          <w:szCs w:val="20"/>
        </w:rPr>
      </w:pPr>
      <w:r w:rsidRPr="004657AB">
        <w:rPr>
          <w:b/>
          <w:sz w:val="20"/>
          <w:szCs w:val="20"/>
        </w:rPr>
        <w:t xml:space="preserve">PAKIET I </w:t>
      </w:r>
      <w:r w:rsidRPr="004657AB">
        <w:rPr>
          <w:sz w:val="20"/>
          <w:szCs w:val="20"/>
        </w:rPr>
        <w:t>Dostawa odczynników do diagnostyki molekularnej metodą PCR wraz z najmem automatycznego , wieloparametrowego analizatora (multiplet PCR w systemie zamkniętym ) przez okres 12 miesięcy</w:t>
      </w:r>
    </w:p>
    <w:p w:rsidR="004657AB" w:rsidRDefault="004657AB" w:rsidP="004657AB">
      <w:pPr>
        <w:ind w:left="284"/>
        <w:jc w:val="center"/>
        <w:rPr>
          <w:rFonts w:eastAsia="Calibri"/>
          <w:b/>
        </w:rPr>
      </w:pPr>
    </w:p>
    <w:tbl>
      <w:tblPr>
        <w:tblW w:w="1593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5097"/>
        <w:gridCol w:w="1441"/>
        <w:gridCol w:w="1080"/>
        <w:gridCol w:w="1080"/>
        <w:gridCol w:w="1260"/>
        <w:gridCol w:w="1440"/>
        <w:gridCol w:w="1440"/>
        <w:gridCol w:w="1440"/>
        <w:gridCol w:w="1166"/>
      </w:tblGrid>
      <w:tr w:rsidR="004657AB" w:rsidRPr="00F66CA4" w:rsidTr="00FB53CE">
        <w:trPr>
          <w:trHeight w:val="597"/>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Lp.</w:t>
            </w:r>
          </w:p>
        </w:tc>
        <w:tc>
          <w:tcPr>
            <w:tcW w:w="5097" w:type="dxa"/>
            <w:tcBorders>
              <w:top w:val="single" w:sz="4" w:space="0" w:color="auto"/>
              <w:left w:val="single" w:sz="4" w:space="0" w:color="auto"/>
              <w:bottom w:val="single" w:sz="4" w:space="0" w:color="auto"/>
              <w:right w:val="single" w:sz="4" w:space="0" w:color="auto"/>
            </w:tcBorders>
            <w:shd w:val="clear" w:color="auto" w:fill="FFFFFF"/>
            <w:vAlign w:val="center"/>
          </w:tcPr>
          <w:p w:rsidR="004657AB" w:rsidRPr="00F66CA4" w:rsidRDefault="004657AB" w:rsidP="00FB53CE">
            <w:pPr>
              <w:keepNext/>
              <w:spacing w:before="240" w:after="60"/>
              <w:jc w:val="center"/>
              <w:outlineLvl w:val="0"/>
              <w:rPr>
                <w:b/>
                <w:bCs/>
                <w:kern w:val="32"/>
                <w:sz w:val="20"/>
                <w:szCs w:val="20"/>
              </w:rPr>
            </w:pPr>
            <w:r w:rsidRPr="00F66CA4">
              <w:rPr>
                <w:b/>
                <w:bCs/>
                <w:kern w:val="32"/>
                <w:sz w:val="20"/>
                <w:szCs w:val="20"/>
              </w:rPr>
              <w:t>Nazwa zestawu</w:t>
            </w:r>
          </w:p>
          <w:p w:rsidR="004657AB" w:rsidRPr="00F66CA4" w:rsidRDefault="004657AB" w:rsidP="00FB53CE">
            <w:pPr>
              <w:jc w:val="center"/>
              <w:rPr>
                <w:b/>
                <w:bCs/>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Ilość oznaczeń w opakowaniu</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4657AB" w:rsidRPr="00F66CA4" w:rsidRDefault="004657AB" w:rsidP="00FB53CE">
            <w:pPr>
              <w:jc w:val="center"/>
              <w:rPr>
                <w:b/>
                <w:bCs/>
                <w:sz w:val="20"/>
                <w:szCs w:val="20"/>
              </w:rPr>
            </w:pPr>
            <w:r w:rsidRPr="00F66CA4">
              <w:rPr>
                <w:b/>
                <w:bCs/>
                <w:sz w:val="20"/>
                <w:szCs w:val="20"/>
              </w:rPr>
              <w:t>Nr</w:t>
            </w:r>
          </w:p>
          <w:p w:rsidR="004657AB" w:rsidRPr="00F66CA4" w:rsidRDefault="004657AB" w:rsidP="00FB53CE">
            <w:pPr>
              <w:jc w:val="center"/>
              <w:rPr>
                <w:b/>
                <w:bCs/>
                <w:sz w:val="20"/>
                <w:szCs w:val="20"/>
              </w:rPr>
            </w:pPr>
            <w:r w:rsidRPr="00F66CA4">
              <w:rPr>
                <w:b/>
                <w:bCs/>
                <w:sz w:val="20"/>
                <w:szCs w:val="20"/>
              </w:rPr>
              <w:t>kat.</w:t>
            </w:r>
          </w:p>
          <w:p w:rsidR="004657AB" w:rsidRPr="00F66CA4" w:rsidRDefault="004657AB" w:rsidP="00FB53CE">
            <w:pPr>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Ilość oznaczeń</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Ilość op./szt. na 12 miesięcy</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Wartość jednostkowa netto</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Wartość netto w</w:t>
            </w:r>
            <w:r>
              <w:rPr>
                <w:b/>
                <w:bCs/>
                <w:sz w:val="20"/>
                <w:szCs w:val="20"/>
              </w:rPr>
              <w:t xml:space="preserve"> </w:t>
            </w:r>
            <w:r w:rsidRPr="00F66CA4">
              <w:rPr>
                <w:b/>
                <w:bCs/>
                <w:sz w:val="20"/>
                <w:szCs w:val="20"/>
              </w:rPr>
              <w:t>PLN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57AB" w:rsidRPr="00F66CA4" w:rsidRDefault="004657AB" w:rsidP="00FB53CE">
            <w:pPr>
              <w:jc w:val="center"/>
              <w:rPr>
                <w:b/>
                <w:bCs/>
                <w:sz w:val="20"/>
                <w:szCs w:val="20"/>
              </w:rPr>
            </w:pPr>
            <w:r w:rsidRPr="00F66CA4">
              <w:rPr>
                <w:b/>
                <w:bCs/>
                <w:sz w:val="20"/>
                <w:szCs w:val="20"/>
              </w:rPr>
              <w:t>Cena</w:t>
            </w:r>
          </w:p>
          <w:p w:rsidR="004657AB" w:rsidRPr="00F66CA4" w:rsidRDefault="004657AB" w:rsidP="00FB53CE">
            <w:pPr>
              <w:jc w:val="center"/>
              <w:rPr>
                <w:b/>
                <w:bCs/>
                <w:sz w:val="20"/>
                <w:szCs w:val="20"/>
              </w:rPr>
            </w:pPr>
            <w:r w:rsidRPr="00F66CA4">
              <w:rPr>
                <w:b/>
                <w:bCs/>
                <w:sz w:val="20"/>
                <w:szCs w:val="20"/>
              </w:rPr>
              <w:t>brutto w</w:t>
            </w:r>
          </w:p>
          <w:p w:rsidR="004657AB" w:rsidRPr="00F66CA4" w:rsidRDefault="004657AB" w:rsidP="00FB53CE">
            <w:pPr>
              <w:jc w:val="center"/>
              <w:rPr>
                <w:b/>
                <w:bCs/>
                <w:sz w:val="20"/>
                <w:szCs w:val="20"/>
              </w:rPr>
            </w:pPr>
            <w:r w:rsidRPr="00F66CA4">
              <w:rPr>
                <w:b/>
                <w:bCs/>
                <w:sz w:val="20"/>
                <w:szCs w:val="20"/>
              </w:rPr>
              <w:t>PLN</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4657AB" w:rsidRPr="00F66CA4" w:rsidRDefault="004657AB" w:rsidP="00FB53CE">
            <w:pPr>
              <w:jc w:val="center"/>
              <w:rPr>
                <w:b/>
                <w:bCs/>
                <w:sz w:val="20"/>
                <w:szCs w:val="20"/>
              </w:rPr>
            </w:pPr>
            <w:r w:rsidRPr="00F66CA4">
              <w:rPr>
                <w:b/>
                <w:bCs/>
                <w:sz w:val="20"/>
                <w:szCs w:val="20"/>
              </w:rPr>
              <w:t>Termin ważności</w:t>
            </w:r>
          </w:p>
          <w:p w:rsidR="004657AB" w:rsidRPr="00F66CA4" w:rsidRDefault="004657AB" w:rsidP="00FB53CE">
            <w:pPr>
              <w:jc w:val="center"/>
              <w:rPr>
                <w:b/>
                <w:bCs/>
                <w:sz w:val="20"/>
                <w:szCs w:val="20"/>
              </w:rPr>
            </w:pPr>
          </w:p>
        </w:tc>
      </w:tr>
      <w:tr w:rsidR="004657AB" w:rsidRPr="00F66CA4" w:rsidTr="00FB53CE">
        <w:tc>
          <w:tcPr>
            <w:tcW w:w="486"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rPr>
                <w:sz w:val="20"/>
                <w:szCs w:val="20"/>
              </w:rPr>
            </w:pPr>
            <w:r w:rsidRPr="00F66CA4">
              <w:rPr>
                <w:sz w:val="20"/>
                <w:szCs w:val="20"/>
              </w:rPr>
              <w:t xml:space="preserve">  1.</w:t>
            </w:r>
          </w:p>
        </w:tc>
        <w:tc>
          <w:tcPr>
            <w:tcW w:w="5097"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rPr>
                <w:sz w:val="20"/>
                <w:szCs w:val="20"/>
              </w:rPr>
            </w:pPr>
          </w:p>
          <w:p w:rsidR="004657AB" w:rsidRPr="00F66CA4" w:rsidRDefault="004657AB" w:rsidP="00FB53CE">
            <w:pPr>
              <w:rPr>
                <w:sz w:val="20"/>
                <w:szCs w:val="20"/>
              </w:rPr>
            </w:pPr>
            <w:r w:rsidRPr="00F66CA4">
              <w:rPr>
                <w:sz w:val="20"/>
                <w:szCs w:val="20"/>
              </w:rPr>
              <w:t>Zestaw do wykrywania patogenów dróg oddechowych umożliwiających wykrycie następujących drobnoustrojów: Adenowirus, Coronawirusy: 229E, HKU1, OC43, NL63, Enterowirus, wirusy Inflenza: A, AH1, AH3, B, wirusy Parainfluenza 1, 2, 3, 4, Metapneumowirus, wirus RSV, Rhinowirusy, Chlamydophila pneumoniae, Mycoplasma pneumoniae, Bordetella pertusis</w:t>
            </w:r>
          </w:p>
        </w:tc>
        <w:tc>
          <w:tcPr>
            <w:tcW w:w="1441"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sz w:val="20"/>
                <w:szCs w:val="20"/>
              </w:rPr>
            </w:pPr>
          </w:p>
          <w:p w:rsidR="004657AB" w:rsidRPr="00F66CA4" w:rsidRDefault="004657AB" w:rsidP="00FB53CE">
            <w:pPr>
              <w:rPr>
                <w:sz w:val="20"/>
                <w:szCs w:val="20"/>
              </w:rPr>
            </w:pPr>
            <w:r w:rsidRPr="00F66CA4">
              <w:rPr>
                <w:sz w:val="20"/>
                <w:szCs w:val="20"/>
              </w:rPr>
              <w:t xml:space="preserve">   6 testów</w:t>
            </w:r>
          </w:p>
        </w:tc>
        <w:tc>
          <w:tcPr>
            <w:tcW w:w="108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r w:rsidRPr="00F66CA4">
              <w:rPr>
                <w:b/>
                <w:bCs/>
                <w:sz w:val="20"/>
                <w:szCs w:val="20"/>
              </w:rPr>
              <w:t>78</w:t>
            </w:r>
          </w:p>
        </w:tc>
        <w:tc>
          <w:tcPr>
            <w:tcW w:w="126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rPr>
                <w:sz w:val="20"/>
                <w:szCs w:val="20"/>
              </w:rPr>
            </w:pPr>
          </w:p>
          <w:p w:rsidR="004657AB" w:rsidRPr="00F66CA4" w:rsidRDefault="004657AB" w:rsidP="00FB53CE">
            <w:pP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rPr>
                <w:sz w:val="20"/>
                <w:szCs w:val="20"/>
              </w:rPr>
            </w:pPr>
            <w:r w:rsidRPr="00F66CA4">
              <w:rPr>
                <w:sz w:val="20"/>
                <w:szCs w:val="20"/>
              </w:rPr>
              <w:t>4 miesiące</w:t>
            </w:r>
          </w:p>
        </w:tc>
      </w:tr>
      <w:tr w:rsidR="004657AB" w:rsidRPr="00F66CA4" w:rsidTr="00FB53CE">
        <w:tc>
          <w:tcPr>
            <w:tcW w:w="486"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rPr>
                <w:sz w:val="20"/>
                <w:szCs w:val="20"/>
              </w:rPr>
            </w:pPr>
            <w:r w:rsidRPr="00F66CA4">
              <w:rPr>
                <w:sz w:val="20"/>
                <w:szCs w:val="20"/>
              </w:rPr>
              <w:t xml:space="preserve">  2.</w:t>
            </w:r>
          </w:p>
        </w:tc>
        <w:tc>
          <w:tcPr>
            <w:tcW w:w="5097"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rPr>
                <w:sz w:val="20"/>
                <w:szCs w:val="20"/>
              </w:rPr>
            </w:pPr>
            <w:r w:rsidRPr="00F66CA4">
              <w:rPr>
                <w:sz w:val="20"/>
                <w:szCs w:val="20"/>
              </w:rPr>
              <w:t>Zastaw do wykrywania patogenów sepsy umożliwiających wykrycie następujących drobnoustrojów: Staphylococcus aureus, Streptococcus pyogenes, Streptococcus pneumoniae, Streptococcus agalactiae, Eschericha coli, Klebsiella pneumoniae, Klebsiella oxytoca, Serratia marcescens, Acinetobacter baumannii, Haemophilus influenzae, Pseudomonas aeruginosa, Neisseriae meningitidis, Enterobacter cloacae, Enterococcus spp, Proteus spp., Candida albicans, Candida glabrata, Candida tropicalis, Candida krusei, Candida parapsilosis oraz wykrywanie fenotypów oporności MRSA, VRE, KPC.</w:t>
            </w:r>
          </w:p>
        </w:tc>
        <w:tc>
          <w:tcPr>
            <w:tcW w:w="1441"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r w:rsidRPr="00F66CA4">
              <w:rPr>
                <w:sz w:val="20"/>
                <w:szCs w:val="20"/>
              </w:rPr>
              <w:t xml:space="preserve">6 testów </w:t>
            </w: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r w:rsidRPr="00F66CA4">
              <w:rPr>
                <w:b/>
                <w:bCs/>
                <w:sz w:val="20"/>
                <w:szCs w:val="20"/>
              </w:rPr>
              <w:t>78</w:t>
            </w:r>
          </w:p>
        </w:tc>
        <w:tc>
          <w:tcPr>
            <w:tcW w:w="126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r w:rsidRPr="00F66CA4">
              <w:rPr>
                <w:sz w:val="20"/>
                <w:szCs w:val="20"/>
              </w:rPr>
              <w:t>4 miesiące</w:t>
            </w:r>
          </w:p>
        </w:tc>
      </w:tr>
      <w:tr w:rsidR="004657AB" w:rsidRPr="00F66CA4" w:rsidTr="00FB53CE">
        <w:tc>
          <w:tcPr>
            <w:tcW w:w="486"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jc w:val="center"/>
              <w:rPr>
                <w:sz w:val="20"/>
                <w:szCs w:val="20"/>
              </w:rPr>
            </w:pPr>
            <w:r w:rsidRPr="00F66CA4">
              <w:rPr>
                <w:sz w:val="20"/>
                <w:szCs w:val="20"/>
              </w:rPr>
              <w:t>3.</w:t>
            </w:r>
          </w:p>
        </w:tc>
        <w:tc>
          <w:tcPr>
            <w:tcW w:w="5097"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rPr>
                <w:sz w:val="20"/>
                <w:szCs w:val="20"/>
              </w:rPr>
            </w:pPr>
            <w:r w:rsidRPr="00F66CA4">
              <w:rPr>
                <w:sz w:val="20"/>
                <w:szCs w:val="20"/>
              </w:rPr>
              <w:t>Zastaw do wykrywania patogenów jelitowych umożliwiających wykrycie następujących drobnoustrojów: Campylobacter (jejuni, coli i</w:t>
            </w:r>
          </w:p>
          <w:p w:rsidR="004657AB" w:rsidRPr="00F66CA4" w:rsidRDefault="004657AB" w:rsidP="00FB53CE">
            <w:pPr>
              <w:rPr>
                <w:sz w:val="20"/>
                <w:szCs w:val="20"/>
                <w:lang w:val="en-US"/>
              </w:rPr>
            </w:pPr>
            <w:r w:rsidRPr="00F66CA4">
              <w:rPr>
                <w:sz w:val="20"/>
                <w:szCs w:val="20"/>
                <w:lang w:val="en-US"/>
              </w:rPr>
              <w:t>upsaliensis)</w:t>
            </w:r>
          </w:p>
          <w:p w:rsidR="004657AB" w:rsidRPr="00F66CA4" w:rsidRDefault="004657AB" w:rsidP="00FB53CE">
            <w:pPr>
              <w:rPr>
                <w:sz w:val="20"/>
                <w:szCs w:val="20"/>
                <w:lang w:val="en-US"/>
              </w:rPr>
            </w:pPr>
            <w:r w:rsidRPr="00F66CA4">
              <w:rPr>
                <w:sz w:val="20"/>
                <w:szCs w:val="20"/>
                <w:lang w:val="en-US"/>
              </w:rPr>
              <w:t>Clostridium difficile (toxin A/B)</w:t>
            </w:r>
          </w:p>
          <w:p w:rsidR="004657AB" w:rsidRPr="00F66CA4" w:rsidRDefault="004657AB" w:rsidP="00FB53CE">
            <w:pPr>
              <w:rPr>
                <w:sz w:val="20"/>
                <w:szCs w:val="20"/>
                <w:lang w:val="en-US"/>
              </w:rPr>
            </w:pPr>
            <w:r w:rsidRPr="00F66CA4">
              <w:rPr>
                <w:sz w:val="20"/>
                <w:szCs w:val="20"/>
                <w:lang w:val="en-US"/>
              </w:rPr>
              <w:t>Plesiomonas shigelloides, Salmonella,</w:t>
            </w:r>
          </w:p>
          <w:p w:rsidR="004657AB" w:rsidRPr="00F66CA4" w:rsidRDefault="004657AB" w:rsidP="00FB53CE">
            <w:pPr>
              <w:rPr>
                <w:sz w:val="20"/>
                <w:szCs w:val="20"/>
                <w:lang w:val="en-US"/>
              </w:rPr>
            </w:pPr>
            <w:r w:rsidRPr="00F66CA4">
              <w:rPr>
                <w:sz w:val="20"/>
                <w:szCs w:val="20"/>
                <w:lang w:val="en-US"/>
              </w:rPr>
              <w:t>Yersinia enterocolitica,</w:t>
            </w:r>
          </w:p>
          <w:p w:rsidR="004657AB" w:rsidRPr="00F66CA4" w:rsidRDefault="004657AB" w:rsidP="00FB53CE">
            <w:pPr>
              <w:rPr>
                <w:sz w:val="20"/>
                <w:szCs w:val="20"/>
                <w:lang w:val="en-US"/>
              </w:rPr>
            </w:pPr>
            <w:r w:rsidRPr="00F66CA4">
              <w:rPr>
                <w:sz w:val="20"/>
                <w:szCs w:val="20"/>
                <w:lang w:val="en-US"/>
              </w:rPr>
              <w:t>Vibrio (parahaemolyticus, vulnificus i cholerae),</w:t>
            </w:r>
          </w:p>
          <w:p w:rsidR="004657AB" w:rsidRPr="00F66CA4" w:rsidRDefault="004657AB" w:rsidP="00FB53CE">
            <w:pPr>
              <w:rPr>
                <w:sz w:val="20"/>
                <w:szCs w:val="20"/>
                <w:lang w:val="en-US"/>
              </w:rPr>
            </w:pPr>
            <w:r w:rsidRPr="00F66CA4">
              <w:rPr>
                <w:sz w:val="20"/>
                <w:szCs w:val="20"/>
                <w:lang w:val="en-US"/>
              </w:rPr>
              <w:t>Vibrio cholerae,</w:t>
            </w:r>
          </w:p>
          <w:p w:rsidR="004657AB" w:rsidRPr="00F66CA4" w:rsidRDefault="004657AB" w:rsidP="00FB53CE">
            <w:pPr>
              <w:rPr>
                <w:sz w:val="20"/>
                <w:szCs w:val="20"/>
                <w:lang w:val="en-US"/>
              </w:rPr>
            </w:pPr>
            <w:r w:rsidRPr="00F66CA4">
              <w:rPr>
                <w:sz w:val="20"/>
                <w:szCs w:val="20"/>
                <w:lang w:val="en-US"/>
              </w:rPr>
              <w:t>Diarrheagenic E. coli/Shigella,</w:t>
            </w:r>
          </w:p>
          <w:p w:rsidR="004657AB" w:rsidRPr="00F66CA4" w:rsidRDefault="004657AB" w:rsidP="00FB53CE">
            <w:pPr>
              <w:rPr>
                <w:sz w:val="20"/>
                <w:szCs w:val="20"/>
                <w:lang w:val="it-IT"/>
              </w:rPr>
            </w:pPr>
            <w:r w:rsidRPr="00F66CA4">
              <w:rPr>
                <w:sz w:val="20"/>
                <w:szCs w:val="20"/>
                <w:lang w:val="it-IT"/>
              </w:rPr>
              <w:t>Enteroaggregative E. coli (EAEC),</w:t>
            </w:r>
          </w:p>
          <w:p w:rsidR="004657AB" w:rsidRPr="00F66CA4" w:rsidRDefault="004657AB" w:rsidP="00FB53CE">
            <w:pPr>
              <w:rPr>
                <w:sz w:val="20"/>
                <w:szCs w:val="20"/>
                <w:lang w:val="it-IT"/>
              </w:rPr>
            </w:pPr>
            <w:r w:rsidRPr="00F66CA4">
              <w:rPr>
                <w:sz w:val="20"/>
                <w:szCs w:val="20"/>
                <w:lang w:val="it-IT"/>
              </w:rPr>
              <w:t>Enteropathogenic E. coli (EPEC),</w:t>
            </w:r>
          </w:p>
          <w:p w:rsidR="004657AB" w:rsidRPr="00F66CA4" w:rsidRDefault="004657AB" w:rsidP="00FB53CE">
            <w:pPr>
              <w:rPr>
                <w:sz w:val="20"/>
                <w:szCs w:val="20"/>
                <w:lang w:val="en-US"/>
              </w:rPr>
            </w:pPr>
            <w:r w:rsidRPr="00F66CA4">
              <w:rPr>
                <w:sz w:val="20"/>
                <w:szCs w:val="20"/>
                <w:lang w:val="en-US"/>
              </w:rPr>
              <w:t>Enterotoxigenic E. coli (ETEC) lt/st,</w:t>
            </w:r>
          </w:p>
          <w:p w:rsidR="004657AB" w:rsidRPr="00F66CA4" w:rsidRDefault="004657AB" w:rsidP="00FB53CE">
            <w:pPr>
              <w:rPr>
                <w:sz w:val="20"/>
                <w:szCs w:val="20"/>
                <w:lang w:val="en-US"/>
              </w:rPr>
            </w:pPr>
            <w:r w:rsidRPr="00F66CA4">
              <w:rPr>
                <w:sz w:val="20"/>
                <w:szCs w:val="20"/>
                <w:lang w:val="en-US"/>
              </w:rPr>
              <w:t>Shiga-like toxin-producing E. coli (STEC) stx1/stx2,</w:t>
            </w:r>
          </w:p>
          <w:p w:rsidR="004657AB" w:rsidRPr="00F66CA4" w:rsidRDefault="004657AB" w:rsidP="00FB53CE">
            <w:pPr>
              <w:rPr>
                <w:sz w:val="20"/>
                <w:szCs w:val="20"/>
                <w:lang w:val="it-IT"/>
              </w:rPr>
            </w:pPr>
            <w:r w:rsidRPr="00F66CA4">
              <w:rPr>
                <w:sz w:val="20"/>
                <w:szCs w:val="20"/>
                <w:lang w:val="it-IT"/>
              </w:rPr>
              <w:t>E. coli O157,</w:t>
            </w:r>
          </w:p>
          <w:p w:rsidR="004657AB" w:rsidRPr="00F66CA4" w:rsidRDefault="004657AB" w:rsidP="00FB53CE">
            <w:pPr>
              <w:rPr>
                <w:sz w:val="20"/>
                <w:szCs w:val="20"/>
                <w:lang w:val="it-IT"/>
              </w:rPr>
            </w:pPr>
            <w:r w:rsidRPr="00F66CA4">
              <w:rPr>
                <w:sz w:val="20"/>
                <w:szCs w:val="20"/>
                <w:lang w:val="it-IT"/>
              </w:rPr>
              <w:t>Shigella/Enteroinvasive E. coli (EIEC), Cryptosporidium,</w:t>
            </w:r>
          </w:p>
          <w:p w:rsidR="004657AB" w:rsidRPr="00F66CA4" w:rsidRDefault="004657AB" w:rsidP="00FB53CE">
            <w:pPr>
              <w:rPr>
                <w:sz w:val="20"/>
                <w:szCs w:val="20"/>
                <w:lang w:val="it-IT"/>
              </w:rPr>
            </w:pPr>
            <w:r w:rsidRPr="00F66CA4">
              <w:rPr>
                <w:sz w:val="20"/>
                <w:szCs w:val="20"/>
                <w:lang w:val="it-IT"/>
              </w:rPr>
              <w:t>Cyclospora cayetanensis,</w:t>
            </w:r>
          </w:p>
          <w:p w:rsidR="004657AB" w:rsidRPr="00F66CA4" w:rsidRDefault="004657AB" w:rsidP="00FB53CE">
            <w:pPr>
              <w:rPr>
                <w:sz w:val="20"/>
                <w:szCs w:val="20"/>
                <w:lang w:val="it-IT"/>
              </w:rPr>
            </w:pPr>
            <w:r w:rsidRPr="00F66CA4">
              <w:rPr>
                <w:sz w:val="20"/>
                <w:szCs w:val="20"/>
                <w:lang w:val="it-IT"/>
              </w:rPr>
              <w:t>Entamoeba histolytica,</w:t>
            </w:r>
          </w:p>
          <w:p w:rsidR="004657AB" w:rsidRPr="00F66CA4" w:rsidRDefault="004657AB" w:rsidP="00FB53CE">
            <w:pPr>
              <w:rPr>
                <w:sz w:val="20"/>
                <w:szCs w:val="20"/>
                <w:lang w:val="it-IT"/>
              </w:rPr>
            </w:pPr>
            <w:r w:rsidRPr="00F66CA4">
              <w:rPr>
                <w:sz w:val="20"/>
                <w:szCs w:val="20"/>
                <w:lang w:val="it-IT"/>
              </w:rPr>
              <w:lastRenderedPageBreak/>
              <w:t>Giardia lamblia, Adenovirus F 40/41,</w:t>
            </w:r>
          </w:p>
          <w:p w:rsidR="004657AB" w:rsidRPr="00F66CA4" w:rsidRDefault="004657AB" w:rsidP="00FB53CE">
            <w:pPr>
              <w:rPr>
                <w:sz w:val="20"/>
                <w:szCs w:val="20"/>
                <w:lang w:val="it-IT"/>
              </w:rPr>
            </w:pPr>
            <w:r w:rsidRPr="00F66CA4">
              <w:rPr>
                <w:sz w:val="20"/>
                <w:szCs w:val="20"/>
                <w:lang w:val="it-IT"/>
              </w:rPr>
              <w:t>Astrovirus,</w:t>
            </w:r>
          </w:p>
          <w:p w:rsidR="004657AB" w:rsidRPr="00F66CA4" w:rsidRDefault="004657AB" w:rsidP="00FB53CE">
            <w:pPr>
              <w:rPr>
                <w:sz w:val="20"/>
                <w:szCs w:val="20"/>
                <w:lang w:val="it-IT"/>
              </w:rPr>
            </w:pPr>
            <w:r w:rsidRPr="00F66CA4">
              <w:rPr>
                <w:sz w:val="20"/>
                <w:szCs w:val="20"/>
                <w:lang w:val="it-IT"/>
              </w:rPr>
              <w:t>Norovirus GI/GII,</w:t>
            </w:r>
          </w:p>
          <w:p w:rsidR="004657AB" w:rsidRPr="00F66CA4" w:rsidRDefault="004657AB" w:rsidP="00FB53CE">
            <w:pPr>
              <w:rPr>
                <w:sz w:val="20"/>
                <w:szCs w:val="20"/>
                <w:lang w:val="it-IT"/>
              </w:rPr>
            </w:pPr>
            <w:r w:rsidRPr="00F66CA4">
              <w:rPr>
                <w:sz w:val="20"/>
                <w:szCs w:val="20"/>
                <w:lang w:val="it-IT"/>
              </w:rPr>
              <w:t>Rotavirus A,</w:t>
            </w:r>
          </w:p>
          <w:p w:rsidR="004657AB" w:rsidRPr="00F66CA4" w:rsidRDefault="004657AB" w:rsidP="00FB53CE">
            <w:pPr>
              <w:rPr>
                <w:sz w:val="20"/>
                <w:szCs w:val="20"/>
                <w:lang w:val="it-IT"/>
              </w:rPr>
            </w:pPr>
            <w:r w:rsidRPr="00F66CA4">
              <w:rPr>
                <w:sz w:val="20"/>
                <w:szCs w:val="20"/>
                <w:lang w:val="it-IT"/>
              </w:rPr>
              <w:t>Sapovirus (I, II, IV and V),</w:t>
            </w:r>
          </w:p>
        </w:tc>
        <w:tc>
          <w:tcPr>
            <w:tcW w:w="1441"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it-IT"/>
              </w:rPr>
            </w:pPr>
          </w:p>
          <w:p w:rsidR="004657AB" w:rsidRPr="00F66CA4" w:rsidRDefault="004657AB" w:rsidP="00FB53CE">
            <w:pPr>
              <w:jc w:val="center"/>
              <w:rPr>
                <w:sz w:val="20"/>
                <w:szCs w:val="20"/>
              </w:rPr>
            </w:pPr>
            <w:r w:rsidRPr="00F66CA4">
              <w:rPr>
                <w:sz w:val="20"/>
                <w:szCs w:val="20"/>
              </w:rPr>
              <w:t xml:space="preserve">6 testów </w:t>
            </w: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r w:rsidRPr="00F66CA4">
              <w:rPr>
                <w:b/>
                <w:bCs/>
                <w:sz w:val="20"/>
                <w:szCs w:val="20"/>
              </w:rPr>
              <w:t>18</w:t>
            </w: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r w:rsidRPr="00F66CA4">
              <w:rPr>
                <w:sz w:val="20"/>
                <w:szCs w:val="20"/>
              </w:rPr>
              <w:t>4 miesiące</w:t>
            </w: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r>
      <w:tr w:rsidR="004657AB" w:rsidRPr="00F66CA4" w:rsidTr="00FB53CE">
        <w:tc>
          <w:tcPr>
            <w:tcW w:w="486"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jc w:val="center"/>
              <w:rPr>
                <w:sz w:val="20"/>
                <w:szCs w:val="20"/>
              </w:rPr>
            </w:pPr>
            <w:r w:rsidRPr="00F66CA4">
              <w:rPr>
                <w:sz w:val="20"/>
                <w:szCs w:val="20"/>
              </w:rPr>
              <w:lastRenderedPageBreak/>
              <w:t>4.</w:t>
            </w:r>
          </w:p>
        </w:tc>
        <w:tc>
          <w:tcPr>
            <w:tcW w:w="5097"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rPr>
                <w:sz w:val="20"/>
                <w:szCs w:val="20"/>
              </w:rPr>
            </w:pPr>
            <w:r w:rsidRPr="00F66CA4">
              <w:rPr>
                <w:sz w:val="20"/>
                <w:szCs w:val="20"/>
              </w:rPr>
              <w:t>Zastaw do wykrywania patogenów z płynu mózgowo-rdzeniowego: Escherichia coli K1</w:t>
            </w:r>
          </w:p>
          <w:p w:rsidR="004657AB" w:rsidRPr="00F66CA4" w:rsidRDefault="004657AB" w:rsidP="00FB53CE">
            <w:pPr>
              <w:rPr>
                <w:sz w:val="20"/>
                <w:szCs w:val="20"/>
                <w:lang w:val="en-US"/>
              </w:rPr>
            </w:pPr>
            <w:r w:rsidRPr="00F66CA4">
              <w:rPr>
                <w:sz w:val="20"/>
                <w:szCs w:val="20"/>
                <w:lang w:val="en-US"/>
              </w:rPr>
              <w:t>Haemophilus influenzae</w:t>
            </w:r>
          </w:p>
          <w:p w:rsidR="004657AB" w:rsidRPr="00F66CA4" w:rsidRDefault="004657AB" w:rsidP="00FB53CE">
            <w:pPr>
              <w:rPr>
                <w:sz w:val="20"/>
                <w:szCs w:val="20"/>
                <w:lang w:val="en-US"/>
              </w:rPr>
            </w:pPr>
            <w:r w:rsidRPr="00F66CA4">
              <w:rPr>
                <w:sz w:val="20"/>
                <w:szCs w:val="20"/>
                <w:lang w:val="en-US"/>
              </w:rPr>
              <w:t>Listeria monocytogenes</w:t>
            </w:r>
          </w:p>
          <w:p w:rsidR="004657AB" w:rsidRPr="00F66CA4" w:rsidRDefault="004657AB" w:rsidP="00FB53CE">
            <w:pPr>
              <w:rPr>
                <w:sz w:val="20"/>
                <w:szCs w:val="20"/>
                <w:lang w:val="en-US"/>
              </w:rPr>
            </w:pPr>
            <w:r w:rsidRPr="00F66CA4">
              <w:rPr>
                <w:sz w:val="20"/>
                <w:szCs w:val="20"/>
                <w:lang w:val="en-US"/>
              </w:rPr>
              <w:t>Neisseria meningitidis</w:t>
            </w:r>
          </w:p>
          <w:p w:rsidR="004657AB" w:rsidRPr="00F66CA4" w:rsidRDefault="004657AB" w:rsidP="00FB53CE">
            <w:pPr>
              <w:rPr>
                <w:sz w:val="20"/>
                <w:szCs w:val="20"/>
                <w:lang w:val="en-US"/>
              </w:rPr>
            </w:pPr>
            <w:r w:rsidRPr="00F66CA4">
              <w:rPr>
                <w:sz w:val="20"/>
                <w:szCs w:val="20"/>
                <w:lang w:val="en-US"/>
              </w:rPr>
              <w:t>Streptococcus agalactiae</w:t>
            </w:r>
          </w:p>
          <w:p w:rsidR="004657AB" w:rsidRPr="00F66CA4" w:rsidRDefault="004657AB" w:rsidP="00FB53CE">
            <w:pPr>
              <w:rPr>
                <w:sz w:val="20"/>
                <w:szCs w:val="20"/>
                <w:lang w:val="en-US"/>
              </w:rPr>
            </w:pPr>
            <w:r w:rsidRPr="00F66CA4">
              <w:rPr>
                <w:sz w:val="20"/>
                <w:szCs w:val="20"/>
                <w:lang w:val="en-US"/>
              </w:rPr>
              <w:t>Streptococcus pneumoniae</w:t>
            </w:r>
          </w:p>
          <w:p w:rsidR="004657AB" w:rsidRPr="00F66CA4" w:rsidRDefault="004657AB" w:rsidP="00FB53CE">
            <w:pPr>
              <w:rPr>
                <w:sz w:val="20"/>
                <w:szCs w:val="20"/>
                <w:lang w:val="en-US"/>
              </w:rPr>
            </w:pPr>
            <w:r w:rsidRPr="00F66CA4">
              <w:rPr>
                <w:sz w:val="20"/>
                <w:szCs w:val="20"/>
                <w:lang w:val="en-US"/>
              </w:rPr>
              <w:t>Cytomegalovirus (CMV)                                                    Cryptococcus neoformans/gattii</w:t>
            </w:r>
          </w:p>
          <w:p w:rsidR="004657AB" w:rsidRPr="00F66CA4" w:rsidRDefault="004657AB" w:rsidP="00FB53CE">
            <w:pPr>
              <w:rPr>
                <w:sz w:val="20"/>
                <w:szCs w:val="20"/>
                <w:lang w:val="en-US"/>
              </w:rPr>
            </w:pPr>
            <w:r w:rsidRPr="00F66CA4">
              <w:rPr>
                <w:sz w:val="20"/>
                <w:szCs w:val="20"/>
                <w:lang w:val="en-US"/>
              </w:rPr>
              <w:t>Enterovirus</w:t>
            </w:r>
          </w:p>
          <w:p w:rsidR="004657AB" w:rsidRPr="00F66CA4" w:rsidRDefault="004657AB" w:rsidP="00FB53CE">
            <w:pPr>
              <w:rPr>
                <w:sz w:val="20"/>
                <w:szCs w:val="20"/>
                <w:lang w:val="pt-BR"/>
              </w:rPr>
            </w:pPr>
            <w:r w:rsidRPr="00F66CA4">
              <w:rPr>
                <w:sz w:val="20"/>
                <w:szCs w:val="20"/>
                <w:lang w:val="pt-BR"/>
              </w:rPr>
              <w:t>Herpes simplex virus 1 (HSV-1)</w:t>
            </w:r>
          </w:p>
          <w:p w:rsidR="004657AB" w:rsidRPr="00F66CA4" w:rsidRDefault="004657AB" w:rsidP="00FB53CE">
            <w:pPr>
              <w:rPr>
                <w:sz w:val="20"/>
                <w:szCs w:val="20"/>
                <w:lang w:val="pt-BR"/>
              </w:rPr>
            </w:pPr>
            <w:r w:rsidRPr="00F66CA4">
              <w:rPr>
                <w:sz w:val="20"/>
                <w:szCs w:val="20"/>
                <w:lang w:val="pt-BR"/>
              </w:rPr>
              <w:t>Herpes simplex virus 2 (HSV-2)</w:t>
            </w:r>
          </w:p>
          <w:p w:rsidR="004657AB" w:rsidRPr="00F66CA4" w:rsidRDefault="004657AB" w:rsidP="00FB53CE">
            <w:pPr>
              <w:rPr>
                <w:sz w:val="20"/>
                <w:szCs w:val="20"/>
                <w:lang w:val="es-ES"/>
              </w:rPr>
            </w:pPr>
            <w:r w:rsidRPr="00F66CA4">
              <w:rPr>
                <w:sz w:val="20"/>
                <w:szCs w:val="20"/>
                <w:lang w:val="es-ES"/>
              </w:rPr>
              <w:t>Human herpesvirus 6 (HHV-6)</w:t>
            </w:r>
          </w:p>
          <w:p w:rsidR="004657AB" w:rsidRPr="00F66CA4" w:rsidRDefault="004657AB" w:rsidP="00FB53CE">
            <w:pPr>
              <w:rPr>
                <w:sz w:val="20"/>
                <w:szCs w:val="20"/>
                <w:lang w:val="es-ES"/>
              </w:rPr>
            </w:pPr>
            <w:r w:rsidRPr="00F66CA4">
              <w:rPr>
                <w:sz w:val="20"/>
                <w:szCs w:val="20"/>
                <w:lang w:val="es-ES"/>
              </w:rPr>
              <w:t>Human parechovirus</w:t>
            </w:r>
          </w:p>
          <w:p w:rsidR="004657AB" w:rsidRPr="00F66CA4" w:rsidRDefault="004657AB" w:rsidP="00FB53CE">
            <w:pPr>
              <w:rPr>
                <w:sz w:val="20"/>
                <w:szCs w:val="20"/>
                <w:lang w:val="es-ES"/>
              </w:rPr>
            </w:pPr>
            <w:r w:rsidRPr="00F66CA4">
              <w:rPr>
                <w:sz w:val="20"/>
                <w:szCs w:val="20"/>
                <w:lang w:val="es-ES"/>
              </w:rPr>
              <w:t>Varicella zoster virus (VZV)</w:t>
            </w:r>
          </w:p>
        </w:tc>
        <w:tc>
          <w:tcPr>
            <w:tcW w:w="1441"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s-ES"/>
              </w:rPr>
            </w:pPr>
          </w:p>
          <w:p w:rsidR="004657AB" w:rsidRPr="00F66CA4" w:rsidRDefault="004657AB" w:rsidP="00FB53CE">
            <w:pPr>
              <w:jc w:val="center"/>
              <w:rPr>
                <w:sz w:val="20"/>
                <w:szCs w:val="20"/>
                <w:lang w:val="es-ES"/>
              </w:rPr>
            </w:pPr>
            <w:r w:rsidRPr="00F66CA4">
              <w:rPr>
                <w:sz w:val="20"/>
                <w:szCs w:val="20"/>
              </w:rPr>
              <w:t>6 testów</w:t>
            </w:r>
          </w:p>
          <w:p w:rsidR="004657AB" w:rsidRPr="00F66CA4" w:rsidRDefault="004657AB" w:rsidP="00FB53CE">
            <w:pPr>
              <w:jc w:val="center"/>
              <w:rPr>
                <w:sz w:val="20"/>
                <w:szCs w:val="20"/>
                <w:lang w:val="es-ES"/>
              </w:rPr>
            </w:pPr>
          </w:p>
          <w:p w:rsidR="004657AB" w:rsidRPr="00F66CA4" w:rsidRDefault="004657AB" w:rsidP="00FB53CE">
            <w:pPr>
              <w:jc w:val="center"/>
              <w:rPr>
                <w:sz w:val="20"/>
                <w:szCs w:val="20"/>
                <w:lang w:val="es-ES"/>
              </w:rPr>
            </w:pPr>
          </w:p>
          <w:p w:rsidR="004657AB" w:rsidRPr="00F66CA4" w:rsidRDefault="004657AB" w:rsidP="00FB53CE">
            <w:pPr>
              <w:jc w:val="center"/>
              <w:rPr>
                <w:sz w:val="20"/>
                <w:szCs w:val="20"/>
                <w:lang w:val="es-ES"/>
              </w:rPr>
            </w:pPr>
          </w:p>
          <w:p w:rsidR="004657AB" w:rsidRPr="00F66CA4" w:rsidRDefault="004657AB" w:rsidP="00FB53CE">
            <w:pPr>
              <w:jc w:val="center"/>
              <w:rPr>
                <w:sz w:val="20"/>
                <w:szCs w:val="20"/>
                <w:lang w:val="es-ES"/>
              </w:rPr>
            </w:pPr>
          </w:p>
          <w:p w:rsidR="004657AB" w:rsidRPr="00F66CA4" w:rsidRDefault="004657AB" w:rsidP="00FB53C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b/>
                <w:bCs/>
                <w:sz w:val="20"/>
                <w:szCs w:val="20"/>
              </w:rPr>
            </w:pPr>
          </w:p>
          <w:p w:rsidR="004657AB" w:rsidRPr="004657AB" w:rsidRDefault="004657AB" w:rsidP="00FB53CE">
            <w:pPr>
              <w:jc w:val="center"/>
              <w:rPr>
                <w:b/>
                <w:bCs/>
                <w:color w:val="0070C0"/>
                <w:sz w:val="20"/>
                <w:szCs w:val="20"/>
              </w:rPr>
            </w:pPr>
            <w:r w:rsidRPr="004657AB">
              <w:rPr>
                <w:b/>
                <w:bCs/>
                <w:color w:val="0070C0"/>
                <w:sz w:val="20"/>
                <w:szCs w:val="20"/>
              </w:rPr>
              <w:t>12</w:t>
            </w: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p w:rsidR="004657AB" w:rsidRPr="00F66CA4" w:rsidRDefault="004657AB" w:rsidP="00FB53CE">
            <w:pPr>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rPr>
            </w:pPr>
            <w:r w:rsidRPr="00F66CA4">
              <w:rPr>
                <w:sz w:val="20"/>
                <w:szCs w:val="20"/>
              </w:rPr>
              <w:t>4 miesiące</w:t>
            </w: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p w:rsidR="004657AB" w:rsidRPr="00F66CA4" w:rsidRDefault="004657AB" w:rsidP="00FB53CE">
            <w:pPr>
              <w:jc w:val="center"/>
              <w:rPr>
                <w:sz w:val="20"/>
                <w:szCs w:val="20"/>
              </w:rPr>
            </w:pPr>
          </w:p>
        </w:tc>
      </w:tr>
      <w:tr w:rsidR="004657AB" w:rsidRPr="00F66CA4" w:rsidTr="00FB53CE">
        <w:tc>
          <w:tcPr>
            <w:tcW w:w="486"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jc w:val="center"/>
              <w:rPr>
                <w:sz w:val="20"/>
                <w:szCs w:val="20"/>
                <w:lang w:val="en-US"/>
              </w:rPr>
            </w:pPr>
            <w:r w:rsidRPr="00F66CA4">
              <w:rPr>
                <w:sz w:val="20"/>
                <w:szCs w:val="20"/>
                <w:lang w:val="en-US"/>
              </w:rPr>
              <w:t>5.</w:t>
            </w:r>
          </w:p>
        </w:tc>
        <w:tc>
          <w:tcPr>
            <w:tcW w:w="5097" w:type="dxa"/>
            <w:tcBorders>
              <w:top w:val="single" w:sz="4" w:space="0" w:color="auto"/>
              <w:left w:val="single" w:sz="4" w:space="0" w:color="auto"/>
              <w:bottom w:val="single" w:sz="4" w:space="0" w:color="auto"/>
              <w:right w:val="single" w:sz="4" w:space="0" w:color="auto"/>
            </w:tcBorders>
            <w:vAlign w:val="center"/>
            <w:hideMark/>
          </w:tcPr>
          <w:p w:rsidR="004657AB" w:rsidRPr="00F66CA4" w:rsidRDefault="004657AB" w:rsidP="00FB53CE">
            <w:pPr>
              <w:rPr>
                <w:b/>
                <w:bCs/>
                <w:sz w:val="20"/>
                <w:szCs w:val="20"/>
              </w:rPr>
            </w:pPr>
            <w:r w:rsidRPr="00F66CA4">
              <w:rPr>
                <w:sz w:val="20"/>
                <w:szCs w:val="20"/>
              </w:rPr>
              <w:t>Materiały zużywalne, kalibratory (jeżeli potrzebne) do wykonania ilości oznaczeń wymienionych w pozycji 1-4 na analizatorze zgodnie z zapotrzebowaniem</w:t>
            </w:r>
          </w:p>
        </w:tc>
        <w:tc>
          <w:tcPr>
            <w:tcW w:w="1441"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rPr>
            </w:pPr>
          </w:p>
          <w:p w:rsidR="004657AB" w:rsidRPr="00F66CA4" w:rsidRDefault="004657AB" w:rsidP="00FB53CE">
            <w:pPr>
              <w:jc w:val="center"/>
              <w:rPr>
                <w:sz w:val="20"/>
                <w:szCs w:val="20"/>
                <w:lang w:val="en-US"/>
              </w:rPr>
            </w:pPr>
            <w:r w:rsidRPr="00F66CA4">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b/>
                <w:bCs/>
                <w:sz w:val="20"/>
                <w:szCs w:val="20"/>
                <w:lang w:val="en-US"/>
              </w:rPr>
            </w:pPr>
          </w:p>
          <w:p w:rsidR="004657AB" w:rsidRPr="00F66CA4" w:rsidRDefault="004657AB" w:rsidP="00FB53CE">
            <w:pPr>
              <w:jc w:val="center"/>
              <w:rPr>
                <w:b/>
                <w:bCs/>
                <w:sz w:val="20"/>
                <w:szCs w:val="20"/>
                <w:lang w:val="en-US"/>
              </w:rPr>
            </w:pPr>
            <w:r w:rsidRPr="00F66CA4">
              <w:rPr>
                <w:b/>
                <w:bCs/>
                <w:sz w:val="20"/>
                <w:szCs w:val="20"/>
                <w:lang w:val="en-US"/>
              </w:rPr>
              <w:t>78</w:t>
            </w:r>
          </w:p>
        </w:tc>
        <w:tc>
          <w:tcPr>
            <w:tcW w:w="1260" w:type="dxa"/>
            <w:tcBorders>
              <w:top w:val="single" w:sz="4" w:space="0" w:color="auto"/>
              <w:left w:val="single" w:sz="4" w:space="0" w:color="auto"/>
              <w:bottom w:val="single" w:sz="4" w:space="0" w:color="auto"/>
              <w:right w:val="single" w:sz="4" w:space="0" w:color="auto"/>
            </w:tcBorders>
            <w:vAlign w:val="center"/>
          </w:tcPr>
          <w:p w:rsidR="004657AB" w:rsidRPr="00F66CA4" w:rsidRDefault="004657AB" w:rsidP="00FB53CE">
            <w:pPr>
              <w:jc w:val="center"/>
              <w:rPr>
                <w:b/>
                <w:bCs/>
                <w:sz w:val="20"/>
                <w:szCs w:val="20"/>
                <w:lang w:val="en-US"/>
              </w:rPr>
            </w:pPr>
          </w:p>
          <w:p w:rsidR="004657AB" w:rsidRPr="00F66CA4" w:rsidRDefault="004657AB" w:rsidP="00FB53CE">
            <w:pPr>
              <w:jc w:val="center"/>
              <w:rPr>
                <w:b/>
                <w:bCs/>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p w:rsidR="004657AB" w:rsidRPr="00F66CA4" w:rsidRDefault="004657AB" w:rsidP="00FB53CE">
            <w:pPr>
              <w:jc w:val="center"/>
              <w:rPr>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p w:rsidR="004657AB" w:rsidRPr="00F66CA4" w:rsidRDefault="004657AB" w:rsidP="00FB53CE">
            <w:pPr>
              <w:jc w:val="center"/>
              <w:rPr>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p w:rsidR="004657AB" w:rsidRPr="00F66CA4" w:rsidRDefault="004657AB" w:rsidP="00FB53CE">
            <w:pPr>
              <w:jc w:val="center"/>
              <w:rPr>
                <w:sz w:val="20"/>
                <w:szCs w:val="20"/>
                <w:lang w:val="en-US"/>
              </w:rPr>
            </w:pPr>
          </w:p>
        </w:tc>
        <w:tc>
          <w:tcPr>
            <w:tcW w:w="1166"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p w:rsidR="004657AB" w:rsidRPr="00F66CA4" w:rsidRDefault="004657AB" w:rsidP="00FB53CE">
            <w:pPr>
              <w:jc w:val="center"/>
              <w:rPr>
                <w:sz w:val="20"/>
                <w:szCs w:val="20"/>
                <w:lang w:val="en-US"/>
              </w:rPr>
            </w:pPr>
            <w:r w:rsidRPr="00F66CA4">
              <w:rPr>
                <w:sz w:val="20"/>
                <w:szCs w:val="20"/>
                <w:lang w:val="en-US"/>
              </w:rPr>
              <w:t>4miesiące</w:t>
            </w:r>
          </w:p>
        </w:tc>
      </w:tr>
      <w:tr w:rsidR="004657AB" w:rsidRPr="00F66CA4" w:rsidTr="00FB53CE">
        <w:trPr>
          <w:trHeight w:val="479"/>
        </w:trPr>
        <w:tc>
          <w:tcPr>
            <w:tcW w:w="11884" w:type="dxa"/>
            <w:gridSpan w:val="7"/>
            <w:tcBorders>
              <w:top w:val="single" w:sz="4" w:space="0" w:color="auto"/>
              <w:left w:val="single" w:sz="4" w:space="0" w:color="auto"/>
              <w:bottom w:val="single" w:sz="4" w:space="0" w:color="auto"/>
              <w:right w:val="single" w:sz="4" w:space="0" w:color="auto"/>
            </w:tcBorders>
            <w:vAlign w:val="center"/>
          </w:tcPr>
          <w:p w:rsidR="004657AB" w:rsidRPr="008B2575" w:rsidRDefault="004657AB" w:rsidP="00FB53CE">
            <w:pPr>
              <w:jc w:val="right"/>
              <w:rPr>
                <w:b/>
                <w:sz w:val="20"/>
                <w:szCs w:val="20"/>
                <w:lang w:val="en-US"/>
              </w:rPr>
            </w:pPr>
            <w:r w:rsidRPr="008B2575">
              <w:rPr>
                <w:b/>
                <w:sz w:val="20"/>
                <w:szCs w:val="20"/>
                <w:lang w:val="en-US"/>
              </w:rPr>
              <w:t>Razem odczynniki:</w:t>
            </w: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tc>
        <w:tc>
          <w:tcPr>
            <w:tcW w:w="1166" w:type="dxa"/>
            <w:tcBorders>
              <w:top w:val="single" w:sz="4" w:space="0" w:color="auto"/>
              <w:left w:val="single" w:sz="4" w:space="0" w:color="auto"/>
              <w:bottom w:val="single" w:sz="4" w:space="0" w:color="auto"/>
              <w:right w:val="single" w:sz="4" w:space="0" w:color="auto"/>
            </w:tcBorders>
          </w:tcPr>
          <w:p w:rsidR="004657AB" w:rsidRPr="00F66CA4" w:rsidRDefault="004657AB" w:rsidP="00FB53CE">
            <w:pPr>
              <w:jc w:val="center"/>
              <w:rPr>
                <w:sz w:val="20"/>
                <w:szCs w:val="20"/>
                <w:lang w:val="en-US"/>
              </w:rPr>
            </w:pPr>
          </w:p>
        </w:tc>
      </w:tr>
    </w:tbl>
    <w:p w:rsidR="004657AB" w:rsidRDefault="004657AB" w:rsidP="004657AB">
      <w:pPr>
        <w:rPr>
          <w:b/>
        </w:rPr>
      </w:pPr>
    </w:p>
    <w:p w:rsidR="004657AB" w:rsidRDefault="004657AB" w:rsidP="004657AB">
      <w:pPr>
        <w:pStyle w:val="Tekstpodstawowywcity"/>
        <w:ind w:left="0"/>
        <w:jc w:val="both"/>
        <w:rPr>
          <w:i/>
          <w:sz w:val="18"/>
          <w:szCs w:val="18"/>
        </w:rPr>
      </w:pPr>
      <w:r w:rsidRPr="00170784">
        <w:rPr>
          <w:i/>
          <w:sz w:val="18"/>
          <w:szCs w:val="18"/>
        </w:rPr>
        <w:t xml:space="preserve">Cena brutto </w:t>
      </w:r>
      <w:r>
        <w:rPr>
          <w:i/>
          <w:sz w:val="18"/>
          <w:szCs w:val="18"/>
        </w:rPr>
        <w:t>w PLN w okresie 12 miesięcy</w:t>
      </w:r>
      <w:r w:rsidRPr="00170784">
        <w:rPr>
          <w:i/>
          <w:sz w:val="18"/>
          <w:szCs w:val="18"/>
        </w:rPr>
        <w:t xml:space="preserve"> – otrzymujemy ze wzoru: Wartość jednostkowa nett</w:t>
      </w:r>
      <w:r>
        <w:rPr>
          <w:i/>
          <w:sz w:val="18"/>
          <w:szCs w:val="18"/>
        </w:rPr>
        <w:t xml:space="preserve">o </w:t>
      </w:r>
      <w:r w:rsidRPr="00170784">
        <w:rPr>
          <w:i/>
          <w:sz w:val="18"/>
          <w:szCs w:val="18"/>
        </w:rPr>
        <w:t xml:space="preserve">brutto </w:t>
      </w:r>
      <w:r>
        <w:rPr>
          <w:i/>
          <w:sz w:val="18"/>
          <w:szCs w:val="18"/>
        </w:rPr>
        <w:t xml:space="preserve">w PLN (najem za 1 miesiąc) </w:t>
      </w:r>
      <w:r w:rsidRPr="00170784">
        <w:rPr>
          <w:i/>
          <w:sz w:val="18"/>
          <w:szCs w:val="18"/>
        </w:rPr>
        <w:t xml:space="preserve">razy Ilość </w:t>
      </w:r>
      <w:r>
        <w:rPr>
          <w:i/>
          <w:sz w:val="18"/>
          <w:szCs w:val="18"/>
        </w:rPr>
        <w:t>miesięcy</w:t>
      </w:r>
      <w:r w:rsidRPr="00170784">
        <w:rPr>
          <w:i/>
          <w:sz w:val="18"/>
          <w:szCs w:val="18"/>
        </w:rPr>
        <w:t xml:space="preserve"> – daje Wartość netto </w:t>
      </w:r>
      <w:r>
        <w:rPr>
          <w:i/>
          <w:sz w:val="18"/>
          <w:szCs w:val="18"/>
        </w:rPr>
        <w:t>w PLN w okresie 12 miesięcy,</w:t>
      </w:r>
      <w:r w:rsidRPr="00170784">
        <w:rPr>
          <w:i/>
          <w:sz w:val="18"/>
          <w:szCs w:val="18"/>
        </w:rPr>
        <w:t xml:space="preserve"> z której to wartości liczymy podatek vat i po dodaniu kwoty podatku vat do wartości netto otrzymujemy Cenę brutto </w:t>
      </w:r>
      <w:r>
        <w:rPr>
          <w:i/>
          <w:sz w:val="18"/>
          <w:szCs w:val="18"/>
        </w:rPr>
        <w:t>w PLN w okresie 12 miesięcy</w:t>
      </w:r>
      <w:r w:rsidRPr="00170784">
        <w:rPr>
          <w:i/>
          <w:sz w:val="18"/>
          <w:szCs w:val="18"/>
        </w:rPr>
        <w:t>.</w:t>
      </w:r>
    </w:p>
    <w:tbl>
      <w:tblPr>
        <w:tblW w:w="14580" w:type="dxa"/>
        <w:tblInd w:w="-650" w:type="dxa"/>
        <w:tblLayout w:type="fixed"/>
        <w:tblCellMar>
          <w:left w:w="70" w:type="dxa"/>
          <w:right w:w="70" w:type="dxa"/>
        </w:tblCellMar>
        <w:tblLook w:val="00A0" w:firstRow="1" w:lastRow="0" w:firstColumn="1" w:lastColumn="0" w:noHBand="0" w:noVBand="0"/>
      </w:tblPr>
      <w:tblGrid>
        <w:gridCol w:w="539"/>
        <w:gridCol w:w="5673"/>
        <w:gridCol w:w="1135"/>
        <w:gridCol w:w="1418"/>
        <w:gridCol w:w="1844"/>
        <w:gridCol w:w="1985"/>
        <w:gridCol w:w="1986"/>
      </w:tblGrid>
      <w:tr w:rsidR="004657AB" w:rsidTr="004657AB">
        <w:trPr>
          <w:trHeight w:val="735"/>
        </w:trPr>
        <w:tc>
          <w:tcPr>
            <w:tcW w:w="539" w:type="dxa"/>
            <w:tcBorders>
              <w:top w:val="single" w:sz="8" w:space="0" w:color="auto"/>
              <w:left w:val="single" w:sz="8" w:space="0" w:color="auto"/>
              <w:bottom w:val="single" w:sz="8" w:space="0" w:color="auto"/>
              <w:right w:val="single" w:sz="4" w:space="0" w:color="auto"/>
            </w:tcBorders>
          </w:tcPr>
          <w:p w:rsidR="004657AB" w:rsidRDefault="004657AB" w:rsidP="00FB53CE">
            <w:pPr>
              <w:jc w:val="center"/>
              <w:rPr>
                <w:b/>
                <w:bCs/>
                <w:sz w:val="20"/>
                <w:szCs w:val="20"/>
              </w:rPr>
            </w:pPr>
          </w:p>
        </w:tc>
        <w:tc>
          <w:tcPr>
            <w:tcW w:w="5673" w:type="dxa"/>
            <w:tcBorders>
              <w:top w:val="single" w:sz="8" w:space="0" w:color="auto"/>
              <w:left w:val="single" w:sz="8" w:space="0" w:color="auto"/>
              <w:bottom w:val="single" w:sz="8" w:space="0" w:color="auto"/>
              <w:right w:val="single" w:sz="4" w:space="0" w:color="auto"/>
            </w:tcBorders>
            <w:noWrap/>
            <w:vAlign w:val="center"/>
            <w:hideMark/>
          </w:tcPr>
          <w:p w:rsidR="004657AB" w:rsidRDefault="004657AB" w:rsidP="00FB53CE">
            <w:pPr>
              <w:ind w:right="626"/>
              <w:jc w:val="center"/>
              <w:rPr>
                <w:b/>
                <w:bCs/>
                <w:sz w:val="20"/>
                <w:szCs w:val="20"/>
              </w:rPr>
            </w:pPr>
            <w:r>
              <w:rPr>
                <w:b/>
                <w:bCs/>
                <w:sz w:val="20"/>
                <w:szCs w:val="20"/>
              </w:rPr>
              <w:t>Nazwa</w:t>
            </w:r>
          </w:p>
        </w:tc>
        <w:tc>
          <w:tcPr>
            <w:tcW w:w="1135" w:type="dxa"/>
            <w:tcBorders>
              <w:top w:val="single" w:sz="8" w:space="0" w:color="auto"/>
              <w:left w:val="nil"/>
              <w:bottom w:val="single" w:sz="8" w:space="0" w:color="auto"/>
              <w:right w:val="single" w:sz="4" w:space="0" w:color="auto"/>
            </w:tcBorders>
            <w:vAlign w:val="center"/>
            <w:hideMark/>
          </w:tcPr>
          <w:p w:rsidR="004657AB" w:rsidRDefault="004657AB" w:rsidP="00FB53CE">
            <w:pPr>
              <w:jc w:val="center"/>
              <w:rPr>
                <w:b/>
                <w:bCs/>
                <w:sz w:val="20"/>
                <w:szCs w:val="20"/>
              </w:rPr>
            </w:pPr>
            <w:r>
              <w:rPr>
                <w:b/>
                <w:bCs/>
                <w:sz w:val="20"/>
                <w:szCs w:val="20"/>
              </w:rPr>
              <w:t>Ilość miesięcy</w:t>
            </w:r>
          </w:p>
        </w:tc>
        <w:tc>
          <w:tcPr>
            <w:tcW w:w="1418" w:type="dxa"/>
            <w:tcBorders>
              <w:top w:val="single" w:sz="8" w:space="0" w:color="auto"/>
              <w:left w:val="nil"/>
              <w:bottom w:val="single" w:sz="8" w:space="0" w:color="auto"/>
              <w:right w:val="single" w:sz="4" w:space="0" w:color="auto"/>
            </w:tcBorders>
            <w:vAlign w:val="center"/>
            <w:hideMark/>
          </w:tcPr>
          <w:p w:rsidR="004657AB" w:rsidRDefault="004657AB" w:rsidP="00FB53CE">
            <w:pPr>
              <w:jc w:val="center"/>
              <w:rPr>
                <w:b/>
                <w:bCs/>
                <w:sz w:val="20"/>
                <w:szCs w:val="20"/>
              </w:rPr>
            </w:pPr>
            <w:r>
              <w:rPr>
                <w:b/>
                <w:bCs/>
                <w:sz w:val="20"/>
                <w:szCs w:val="20"/>
              </w:rPr>
              <w:t>Wartość jedn. netto w PLN (najem za 1 miesiąc)</w:t>
            </w:r>
          </w:p>
        </w:tc>
        <w:tc>
          <w:tcPr>
            <w:tcW w:w="1844" w:type="dxa"/>
            <w:tcBorders>
              <w:top w:val="single" w:sz="8" w:space="0" w:color="auto"/>
              <w:left w:val="nil"/>
              <w:bottom w:val="single" w:sz="8" w:space="0" w:color="auto"/>
              <w:right w:val="single" w:sz="4" w:space="0" w:color="auto"/>
            </w:tcBorders>
            <w:vAlign w:val="center"/>
            <w:hideMark/>
          </w:tcPr>
          <w:p w:rsidR="004657AB" w:rsidRDefault="004657AB" w:rsidP="00FB53CE">
            <w:pPr>
              <w:jc w:val="center"/>
              <w:rPr>
                <w:b/>
                <w:bCs/>
                <w:sz w:val="20"/>
                <w:szCs w:val="20"/>
              </w:rPr>
            </w:pPr>
            <w:r>
              <w:rPr>
                <w:b/>
                <w:bCs/>
                <w:sz w:val="20"/>
                <w:szCs w:val="20"/>
              </w:rPr>
              <w:t>Cena jedn. brutto w PLN (najem za 1 miesiąc)</w:t>
            </w:r>
          </w:p>
        </w:tc>
        <w:tc>
          <w:tcPr>
            <w:tcW w:w="1985" w:type="dxa"/>
            <w:tcBorders>
              <w:top w:val="single" w:sz="8" w:space="0" w:color="auto"/>
              <w:left w:val="nil"/>
              <w:bottom w:val="single" w:sz="8" w:space="0" w:color="auto"/>
              <w:right w:val="single" w:sz="4" w:space="0" w:color="auto"/>
            </w:tcBorders>
            <w:vAlign w:val="center"/>
            <w:hideMark/>
          </w:tcPr>
          <w:p w:rsidR="004657AB" w:rsidRDefault="004657AB" w:rsidP="00FB53CE">
            <w:pPr>
              <w:jc w:val="center"/>
              <w:rPr>
                <w:b/>
                <w:bCs/>
                <w:sz w:val="20"/>
                <w:szCs w:val="20"/>
              </w:rPr>
            </w:pPr>
            <w:r>
              <w:rPr>
                <w:b/>
                <w:bCs/>
                <w:sz w:val="20"/>
                <w:szCs w:val="20"/>
              </w:rPr>
              <w:t>Wartość netto w PLN w okresie 12 miesięcy</w:t>
            </w:r>
          </w:p>
        </w:tc>
        <w:tc>
          <w:tcPr>
            <w:tcW w:w="1986" w:type="dxa"/>
            <w:tcBorders>
              <w:top w:val="single" w:sz="8" w:space="0" w:color="auto"/>
              <w:left w:val="single" w:sz="4" w:space="0" w:color="auto"/>
              <w:bottom w:val="single" w:sz="8" w:space="0" w:color="auto"/>
              <w:right w:val="single" w:sz="8" w:space="0" w:color="auto"/>
            </w:tcBorders>
            <w:vAlign w:val="center"/>
            <w:hideMark/>
          </w:tcPr>
          <w:p w:rsidR="004657AB" w:rsidRDefault="004657AB" w:rsidP="00FB53CE">
            <w:pPr>
              <w:jc w:val="center"/>
              <w:rPr>
                <w:b/>
                <w:bCs/>
                <w:sz w:val="20"/>
                <w:szCs w:val="20"/>
              </w:rPr>
            </w:pPr>
            <w:r>
              <w:rPr>
                <w:b/>
                <w:bCs/>
                <w:sz w:val="20"/>
                <w:szCs w:val="20"/>
              </w:rPr>
              <w:t>Cena brutto w PLN w okresie 12 miesięcy</w:t>
            </w:r>
          </w:p>
        </w:tc>
      </w:tr>
      <w:tr w:rsidR="004657AB" w:rsidTr="004657AB">
        <w:trPr>
          <w:trHeight w:val="2595"/>
        </w:trPr>
        <w:tc>
          <w:tcPr>
            <w:tcW w:w="539" w:type="dxa"/>
            <w:tcBorders>
              <w:top w:val="single" w:sz="8" w:space="0" w:color="auto"/>
              <w:left w:val="single" w:sz="8" w:space="0" w:color="auto"/>
              <w:bottom w:val="single" w:sz="8" w:space="0" w:color="auto"/>
              <w:right w:val="single" w:sz="4" w:space="0" w:color="auto"/>
            </w:tcBorders>
          </w:tcPr>
          <w:p w:rsidR="004657AB" w:rsidRDefault="004657AB" w:rsidP="00FB53CE">
            <w:pPr>
              <w:jc w:val="center"/>
              <w:rPr>
                <w:b/>
                <w:bCs/>
                <w:sz w:val="20"/>
                <w:szCs w:val="20"/>
              </w:rPr>
            </w:pPr>
          </w:p>
        </w:tc>
        <w:tc>
          <w:tcPr>
            <w:tcW w:w="5673" w:type="dxa"/>
            <w:tcBorders>
              <w:top w:val="single" w:sz="8" w:space="0" w:color="auto"/>
              <w:left w:val="single" w:sz="8" w:space="0" w:color="auto"/>
              <w:bottom w:val="single" w:sz="8" w:space="0" w:color="auto"/>
              <w:right w:val="single" w:sz="4" w:space="0" w:color="auto"/>
            </w:tcBorders>
            <w:noWrap/>
            <w:hideMark/>
          </w:tcPr>
          <w:p w:rsidR="004657AB" w:rsidRDefault="004657AB" w:rsidP="00FB53CE">
            <w:pPr>
              <w:rPr>
                <w:sz w:val="20"/>
                <w:szCs w:val="20"/>
              </w:rPr>
            </w:pPr>
            <w:r w:rsidRPr="00EC07DA">
              <w:rPr>
                <w:sz w:val="20"/>
                <w:szCs w:val="20"/>
              </w:rPr>
              <w:t xml:space="preserve">Najem analizatora multiplet PCR w systemie zamkniętym </w:t>
            </w:r>
            <w:r w:rsidRPr="00EC07DA">
              <w:rPr>
                <w:b/>
                <w:sz w:val="20"/>
                <w:szCs w:val="20"/>
              </w:rPr>
              <w:t>typ …………….</w:t>
            </w:r>
            <w:r w:rsidRPr="00EC07DA">
              <w:rPr>
                <w:sz w:val="20"/>
                <w:szCs w:val="20"/>
              </w:rPr>
              <w:t xml:space="preserve"> zgodnie z załączonymi parametrami .  W cenę najmu wliczony przegląd techniczny, dojazd  i roboczogodziny serwisanta , części zamienne oraz zużywalne w</w:t>
            </w:r>
            <w:r>
              <w:rPr>
                <w:sz w:val="20"/>
                <w:szCs w:val="20"/>
              </w:rPr>
              <w:t xml:space="preserve"> przypadku naprawy. Czynsz płatny od następnego dnia miesiąca następującego po dacie zainstalowania sprzętu potwierdzonego protokołem instalacji i przekazania  po zakończeniu umowy sprzęt odbierany na podstawie protokołu deinstalacji wzory w załączeniu.</w:t>
            </w:r>
          </w:p>
        </w:tc>
        <w:tc>
          <w:tcPr>
            <w:tcW w:w="1135" w:type="dxa"/>
            <w:tcBorders>
              <w:top w:val="single" w:sz="8" w:space="0" w:color="auto"/>
              <w:left w:val="nil"/>
              <w:bottom w:val="single" w:sz="8" w:space="0" w:color="auto"/>
              <w:right w:val="single" w:sz="4" w:space="0" w:color="auto"/>
            </w:tcBorders>
            <w:vAlign w:val="center"/>
            <w:hideMark/>
          </w:tcPr>
          <w:p w:rsidR="004657AB" w:rsidRDefault="004657AB" w:rsidP="00FB53CE">
            <w:pPr>
              <w:jc w:val="center"/>
              <w:rPr>
                <w:sz w:val="20"/>
                <w:szCs w:val="20"/>
              </w:rPr>
            </w:pPr>
            <w:r>
              <w:rPr>
                <w:sz w:val="20"/>
                <w:szCs w:val="20"/>
              </w:rPr>
              <w:t>12</w:t>
            </w:r>
          </w:p>
        </w:tc>
        <w:tc>
          <w:tcPr>
            <w:tcW w:w="1418" w:type="dxa"/>
            <w:tcBorders>
              <w:top w:val="single" w:sz="8" w:space="0" w:color="auto"/>
              <w:left w:val="nil"/>
              <w:bottom w:val="single" w:sz="8" w:space="0" w:color="auto"/>
              <w:right w:val="single" w:sz="4" w:space="0" w:color="auto"/>
            </w:tcBorders>
            <w:vAlign w:val="center"/>
          </w:tcPr>
          <w:p w:rsidR="004657AB" w:rsidRDefault="004657AB" w:rsidP="00FB53CE">
            <w:pPr>
              <w:jc w:val="center"/>
              <w:rPr>
                <w:b/>
                <w:bCs/>
                <w:sz w:val="20"/>
                <w:szCs w:val="20"/>
              </w:rPr>
            </w:pPr>
          </w:p>
        </w:tc>
        <w:tc>
          <w:tcPr>
            <w:tcW w:w="1844" w:type="dxa"/>
            <w:tcBorders>
              <w:top w:val="single" w:sz="8" w:space="0" w:color="auto"/>
              <w:left w:val="nil"/>
              <w:bottom w:val="single" w:sz="8" w:space="0" w:color="auto"/>
              <w:right w:val="single" w:sz="4" w:space="0" w:color="auto"/>
            </w:tcBorders>
            <w:vAlign w:val="center"/>
          </w:tcPr>
          <w:p w:rsidR="004657AB" w:rsidRDefault="004657AB" w:rsidP="00FB53CE">
            <w:pPr>
              <w:jc w:val="center"/>
              <w:rPr>
                <w:b/>
                <w:bCs/>
                <w:sz w:val="20"/>
                <w:szCs w:val="20"/>
              </w:rPr>
            </w:pPr>
          </w:p>
        </w:tc>
        <w:tc>
          <w:tcPr>
            <w:tcW w:w="1985" w:type="dxa"/>
            <w:tcBorders>
              <w:top w:val="single" w:sz="8" w:space="0" w:color="auto"/>
              <w:left w:val="nil"/>
              <w:bottom w:val="single" w:sz="8" w:space="0" w:color="auto"/>
              <w:right w:val="single" w:sz="4" w:space="0" w:color="auto"/>
            </w:tcBorders>
            <w:vAlign w:val="center"/>
          </w:tcPr>
          <w:p w:rsidR="004657AB" w:rsidRDefault="004657AB" w:rsidP="00FB53CE">
            <w:pPr>
              <w:jc w:val="center"/>
              <w:rPr>
                <w:b/>
                <w:bCs/>
                <w:sz w:val="20"/>
                <w:szCs w:val="20"/>
              </w:rPr>
            </w:pPr>
          </w:p>
        </w:tc>
        <w:tc>
          <w:tcPr>
            <w:tcW w:w="1986" w:type="dxa"/>
            <w:tcBorders>
              <w:top w:val="single" w:sz="8" w:space="0" w:color="auto"/>
              <w:left w:val="single" w:sz="4" w:space="0" w:color="auto"/>
              <w:bottom w:val="single" w:sz="8" w:space="0" w:color="auto"/>
              <w:right w:val="single" w:sz="8" w:space="0" w:color="auto"/>
            </w:tcBorders>
            <w:vAlign w:val="center"/>
          </w:tcPr>
          <w:p w:rsidR="004657AB" w:rsidRDefault="004657AB" w:rsidP="00FB53CE">
            <w:pPr>
              <w:jc w:val="center"/>
              <w:rPr>
                <w:b/>
                <w:bCs/>
                <w:sz w:val="20"/>
                <w:szCs w:val="20"/>
              </w:rPr>
            </w:pPr>
          </w:p>
        </w:tc>
      </w:tr>
      <w:tr w:rsidR="004657AB" w:rsidTr="004657AB">
        <w:trPr>
          <w:trHeight w:val="417"/>
        </w:trPr>
        <w:tc>
          <w:tcPr>
            <w:tcW w:w="10609" w:type="dxa"/>
            <w:gridSpan w:val="5"/>
            <w:tcBorders>
              <w:top w:val="single" w:sz="8" w:space="0" w:color="auto"/>
              <w:left w:val="single" w:sz="8" w:space="0" w:color="auto"/>
              <w:bottom w:val="single" w:sz="8" w:space="0" w:color="auto"/>
              <w:right w:val="single" w:sz="4" w:space="0" w:color="auto"/>
            </w:tcBorders>
            <w:vAlign w:val="center"/>
            <w:hideMark/>
          </w:tcPr>
          <w:p w:rsidR="004657AB" w:rsidRDefault="004657AB" w:rsidP="00FB53CE">
            <w:pPr>
              <w:jc w:val="right"/>
              <w:rPr>
                <w:sz w:val="20"/>
                <w:szCs w:val="20"/>
              </w:rPr>
            </w:pPr>
            <w:r>
              <w:rPr>
                <w:b/>
                <w:bCs/>
                <w:sz w:val="20"/>
                <w:szCs w:val="20"/>
              </w:rPr>
              <w:t>Łącznie  Pakiet 1 (odczynniki + najem analizatora w okresie 12 miesięcy)</w:t>
            </w:r>
            <w:r>
              <w:rPr>
                <w:sz w:val="20"/>
                <w:szCs w:val="20"/>
              </w:rPr>
              <w:t xml:space="preserve"> :</w:t>
            </w:r>
          </w:p>
        </w:tc>
        <w:tc>
          <w:tcPr>
            <w:tcW w:w="1985" w:type="dxa"/>
            <w:tcBorders>
              <w:top w:val="single" w:sz="8" w:space="0" w:color="auto"/>
              <w:left w:val="nil"/>
              <w:bottom w:val="single" w:sz="8" w:space="0" w:color="auto"/>
              <w:right w:val="single" w:sz="4" w:space="0" w:color="auto"/>
            </w:tcBorders>
            <w:vAlign w:val="center"/>
          </w:tcPr>
          <w:p w:rsidR="004657AB" w:rsidRDefault="004657AB" w:rsidP="00FB53CE">
            <w:pPr>
              <w:jc w:val="center"/>
              <w:rPr>
                <w:b/>
                <w:sz w:val="20"/>
                <w:szCs w:val="20"/>
              </w:rPr>
            </w:pPr>
          </w:p>
        </w:tc>
        <w:tc>
          <w:tcPr>
            <w:tcW w:w="1986" w:type="dxa"/>
            <w:tcBorders>
              <w:top w:val="single" w:sz="8" w:space="0" w:color="auto"/>
              <w:left w:val="single" w:sz="4" w:space="0" w:color="auto"/>
              <w:bottom w:val="single" w:sz="8" w:space="0" w:color="auto"/>
              <w:right w:val="single" w:sz="8" w:space="0" w:color="auto"/>
            </w:tcBorders>
            <w:vAlign w:val="center"/>
          </w:tcPr>
          <w:p w:rsidR="004657AB" w:rsidRDefault="004657AB" w:rsidP="00FB53CE">
            <w:pPr>
              <w:jc w:val="center"/>
              <w:rPr>
                <w:b/>
                <w:sz w:val="20"/>
                <w:szCs w:val="20"/>
              </w:rPr>
            </w:pPr>
          </w:p>
        </w:tc>
      </w:tr>
    </w:tbl>
    <w:p w:rsidR="004657AB" w:rsidRDefault="004657AB" w:rsidP="004657AB">
      <w:pPr>
        <w:rPr>
          <w:b/>
        </w:rPr>
        <w:sectPr w:rsidR="004657AB" w:rsidSect="001D460C">
          <w:pgSz w:w="16838" w:h="11906" w:orient="landscape"/>
          <w:pgMar w:top="540" w:right="1418" w:bottom="180" w:left="1077" w:header="709" w:footer="709" w:gutter="0"/>
          <w:cols w:space="708"/>
          <w:docGrid w:linePitch="326"/>
        </w:sectPr>
      </w:pPr>
    </w:p>
    <w:p w:rsidR="004657AB" w:rsidRDefault="004657AB" w:rsidP="004657AB">
      <w:pPr>
        <w:rPr>
          <w:b/>
          <w:sz w:val="22"/>
          <w:szCs w:val="22"/>
          <w:lang w:eastAsia="en-US"/>
        </w:rPr>
      </w:pPr>
    </w:p>
    <w:p w:rsidR="004657AB" w:rsidRDefault="004657AB" w:rsidP="004657AB">
      <w:pPr>
        <w:jc w:val="center"/>
        <w:rPr>
          <w:b/>
        </w:rPr>
      </w:pPr>
      <w:r>
        <w:rPr>
          <w:b/>
        </w:rPr>
        <w:t xml:space="preserve">ZESTAWIENIE  PARAMETRÓW  GRANICZNYCH  </w:t>
      </w:r>
    </w:p>
    <w:p w:rsidR="004657AB" w:rsidRDefault="004657AB" w:rsidP="004657AB">
      <w:pPr>
        <w:rPr>
          <w:b/>
        </w:rPr>
      </w:pPr>
      <w:r>
        <w:rPr>
          <w:b/>
        </w:rPr>
        <w:t xml:space="preserve">   Producent / Firma : ……………………………..   Kraj : ……………………………….</w:t>
      </w:r>
    </w:p>
    <w:p w:rsidR="004657AB" w:rsidRDefault="004657AB" w:rsidP="004657AB">
      <w:pPr>
        <w:rPr>
          <w:b/>
        </w:rPr>
      </w:pPr>
      <w:r>
        <w:rPr>
          <w:b/>
        </w:rPr>
        <w:t xml:space="preserve">   Urządzenie typ :……………….  Rok produkcji </w:t>
      </w:r>
      <w:r w:rsidRPr="002C1757">
        <w:rPr>
          <w:b/>
        </w:rPr>
        <w:t>:…………..( fabrycznie nowy )</w:t>
      </w:r>
      <w:r>
        <w:rPr>
          <w:b/>
        </w:rPr>
        <w:t xml:space="preserve">   </w:t>
      </w:r>
    </w:p>
    <w:p w:rsidR="004657AB" w:rsidRDefault="004657AB" w:rsidP="004657AB">
      <w:pPr>
        <w:rPr>
          <w:b/>
        </w:rPr>
      </w:pPr>
      <w:r>
        <w:rPr>
          <w:b/>
        </w:rPr>
        <w:t xml:space="preserve">   Cena brutto ...................................(do celów księgowych)</w:t>
      </w:r>
    </w:p>
    <w:p w:rsidR="004657AB" w:rsidRDefault="004657AB" w:rsidP="004657AB">
      <w:pP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7714"/>
        <w:gridCol w:w="1731"/>
      </w:tblGrid>
      <w:tr w:rsidR="004657AB" w:rsidRPr="004657AB" w:rsidTr="00FB53CE">
        <w:trPr>
          <w:trHeight w:val="800"/>
          <w:jc w:val="center"/>
        </w:trPr>
        <w:tc>
          <w:tcPr>
            <w:tcW w:w="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7AB" w:rsidRPr="004657AB" w:rsidRDefault="004657AB" w:rsidP="00FB53CE">
            <w:pPr>
              <w:ind w:left="-337" w:firstLine="180"/>
              <w:jc w:val="center"/>
              <w:rPr>
                <w:b/>
                <w:bCs/>
                <w:sz w:val="20"/>
                <w:szCs w:val="20"/>
              </w:rPr>
            </w:pPr>
            <w:r w:rsidRPr="004657AB">
              <w:rPr>
                <w:b/>
                <w:bCs/>
                <w:sz w:val="20"/>
                <w:szCs w:val="20"/>
              </w:rPr>
              <w:t>L.p.</w:t>
            </w:r>
          </w:p>
        </w:tc>
        <w:tc>
          <w:tcPr>
            <w:tcW w:w="77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7AB" w:rsidRPr="004657AB" w:rsidRDefault="004657AB" w:rsidP="00FB53CE">
            <w:pPr>
              <w:jc w:val="center"/>
              <w:rPr>
                <w:b/>
                <w:bCs/>
                <w:sz w:val="20"/>
                <w:szCs w:val="20"/>
              </w:rPr>
            </w:pPr>
            <w:r w:rsidRPr="004657AB">
              <w:rPr>
                <w:b/>
                <w:bCs/>
                <w:sz w:val="20"/>
                <w:szCs w:val="20"/>
              </w:rPr>
              <w:t>Wymagane warunki graniczne</w:t>
            </w:r>
          </w:p>
        </w:tc>
        <w:tc>
          <w:tcPr>
            <w:tcW w:w="17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57AB" w:rsidRPr="004657AB" w:rsidRDefault="004657AB" w:rsidP="00FB53CE">
            <w:pPr>
              <w:jc w:val="center"/>
              <w:rPr>
                <w:b/>
                <w:bCs/>
                <w:sz w:val="20"/>
                <w:szCs w:val="20"/>
              </w:rPr>
            </w:pPr>
            <w:r w:rsidRPr="004657AB">
              <w:rPr>
                <w:b/>
                <w:bCs/>
                <w:sz w:val="20"/>
                <w:szCs w:val="20"/>
              </w:rPr>
              <w:t>Potwierdzenie</w:t>
            </w:r>
          </w:p>
          <w:p w:rsidR="004657AB" w:rsidRPr="004657AB" w:rsidRDefault="004657AB" w:rsidP="00FB53CE">
            <w:pPr>
              <w:jc w:val="center"/>
              <w:rPr>
                <w:b/>
                <w:bCs/>
                <w:sz w:val="20"/>
                <w:szCs w:val="20"/>
              </w:rPr>
            </w:pPr>
            <w:r w:rsidRPr="004657AB">
              <w:rPr>
                <w:b/>
                <w:bCs/>
                <w:sz w:val="20"/>
                <w:szCs w:val="20"/>
              </w:rPr>
              <w:t>spełnienia warunków granicznych</w:t>
            </w:r>
          </w:p>
          <w:p w:rsidR="004657AB" w:rsidRPr="004657AB" w:rsidRDefault="004657AB" w:rsidP="00FB53CE">
            <w:pPr>
              <w:jc w:val="center"/>
              <w:rPr>
                <w:b/>
                <w:bCs/>
                <w:sz w:val="20"/>
                <w:szCs w:val="20"/>
              </w:rPr>
            </w:pPr>
            <w:r w:rsidRPr="004657AB">
              <w:rPr>
                <w:b/>
                <w:bCs/>
                <w:sz w:val="20"/>
                <w:szCs w:val="20"/>
              </w:rPr>
              <w:t>(TAK/NIE)</w:t>
            </w:r>
          </w:p>
        </w:tc>
      </w:tr>
      <w:tr w:rsidR="004657AB" w:rsidRPr="004657AB" w:rsidTr="004657AB">
        <w:trPr>
          <w:trHeight w:val="519"/>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rPr>
                <w:sz w:val="20"/>
                <w:szCs w:val="20"/>
              </w:rPr>
            </w:pPr>
            <w:r w:rsidRPr="004657AB">
              <w:rPr>
                <w:sz w:val="20"/>
                <w:szCs w:val="20"/>
              </w:rPr>
              <w:t>Analizator do wieloparametrowego PCR (Multiplex PCR) w systemie zamkniętym (amplifikacja, detekcja, analiza prób) i w pełni zautomatyzowanym</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783"/>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 xml:space="preserve">System zapewniający: </w:t>
            </w:r>
          </w:p>
          <w:p w:rsidR="004657AB" w:rsidRPr="004657AB" w:rsidRDefault="004657AB" w:rsidP="004657AB">
            <w:pPr>
              <w:jc w:val="both"/>
              <w:rPr>
                <w:sz w:val="20"/>
                <w:szCs w:val="20"/>
              </w:rPr>
            </w:pPr>
            <w:r w:rsidRPr="004657AB">
              <w:rPr>
                <w:sz w:val="20"/>
                <w:szCs w:val="20"/>
              </w:rPr>
              <w:t>- bezpośrednie badanie próbki bez wstępnej ekstrakcji DNA</w:t>
            </w:r>
          </w:p>
          <w:p w:rsidR="004657AB" w:rsidRPr="004657AB" w:rsidRDefault="004657AB" w:rsidP="004657AB">
            <w:pPr>
              <w:jc w:val="both"/>
              <w:rPr>
                <w:sz w:val="20"/>
                <w:szCs w:val="20"/>
              </w:rPr>
            </w:pPr>
            <w:r w:rsidRPr="004657AB">
              <w:rPr>
                <w:sz w:val="20"/>
                <w:szCs w:val="20"/>
              </w:rPr>
              <w:t>- izolację, amplifikację i detekcję w jednym procesie - bez konieczności przenoszenia próbki</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368"/>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Możliwość wykonywania pojedynczej próbki</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416"/>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Odczynniki do aparatu gotowe do użycia skracając do minimum preparatykę przed analityczną</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519"/>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Kompletny zestaw zawierający: aparat wraz z zestawem komputerowym z oprogramowaniem do analizatora, czytnik kodów kreskowych do identyfikacji odczynników, UPS.</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315"/>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Czas analizy próbki nie powinien przekraczać 70 min.</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406"/>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Wymiary analizatora max do 30x40x20cm (+/-10%), waga: do 12 kg.</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519"/>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Analizator wraz z całym oprzyrządowaniem i sprzętem dodatkowym musi być kompletny i po zainstalowaniu gotowy do pracy zgodnie z przeznaczeniem</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r w:rsidR="004657AB" w:rsidRPr="004657AB" w:rsidTr="004657AB">
        <w:trPr>
          <w:trHeight w:val="519"/>
          <w:jc w:val="center"/>
        </w:trPr>
        <w:tc>
          <w:tcPr>
            <w:tcW w:w="761" w:type="dxa"/>
            <w:tcBorders>
              <w:top w:val="single" w:sz="4" w:space="0" w:color="auto"/>
              <w:left w:val="single" w:sz="4" w:space="0" w:color="auto"/>
              <w:bottom w:val="single" w:sz="4" w:space="0" w:color="auto"/>
              <w:right w:val="single" w:sz="4" w:space="0" w:color="auto"/>
            </w:tcBorders>
            <w:vAlign w:val="center"/>
          </w:tcPr>
          <w:p w:rsidR="004657AB" w:rsidRPr="004657AB" w:rsidRDefault="004657AB" w:rsidP="004657AB">
            <w:pPr>
              <w:numPr>
                <w:ilvl w:val="0"/>
                <w:numId w:val="1"/>
              </w:numPr>
              <w:jc w:val="center"/>
              <w:rPr>
                <w:sz w:val="20"/>
                <w:szCs w:val="20"/>
              </w:rPr>
            </w:pPr>
          </w:p>
        </w:tc>
        <w:tc>
          <w:tcPr>
            <w:tcW w:w="7714" w:type="dxa"/>
            <w:tcBorders>
              <w:top w:val="single" w:sz="4" w:space="0" w:color="auto"/>
              <w:left w:val="single" w:sz="4" w:space="0" w:color="auto"/>
              <w:bottom w:val="single" w:sz="4" w:space="0" w:color="auto"/>
              <w:right w:val="single" w:sz="4" w:space="0" w:color="auto"/>
            </w:tcBorders>
            <w:vAlign w:val="center"/>
            <w:hideMark/>
          </w:tcPr>
          <w:p w:rsidR="004657AB" w:rsidRPr="004657AB" w:rsidRDefault="004657AB" w:rsidP="004657AB">
            <w:pPr>
              <w:jc w:val="both"/>
              <w:rPr>
                <w:sz w:val="20"/>
                <w:szCs w:val="20"/>
              </w:rPr>
            </w:pPr>
            <w:r w:rsidRPr="004657AB">
              <w:rPr>
                <w:sz w:val="20"/>
                <w:szCs w:val="20"/>
              </w:rPr>
              <w:t xml:space="preserve">Wykonawca w ramach umowy zapewnia doradztwo aplikacyjne dotyczące zaproponowanych  testów  </w:t>
            </w:r>
          </w:p>
        </w:tc>
        <w:tc>
          <w:tcPr>
            <w:tcW w:w="1731" w:type="dxa"/>
            <w:tcBorders>
              <w:top w:val="single" w:sz="4" w:space="0" w:color="auto"/>
              <w:left w:val="single" w:sz="4" w:space="0" w:color="auto"/>
              <w:bottom w:val="single" w:sz="4" w:space="0" w:color="auto"/>
              <w:right w:val="single" w:sz="4" w:space="0" w:color="auto"/>
            </w:tcBorders>
          </w:tcPr>
          <w:p w:rsidR="004657AB" w:rsidRPr="004657AB" w:rsidRDefault="004657AB" w:rsidP="004657AB">
            <w:pPr>
              <w:rPr>
                <w:sz w:val="20"/>
                <w:szCs w:val="20"/>
              </w:rPr>
            </w:pPr>
          </w:p>
        </w:tc>
      </w:tr>
    </w:tbl>
    <w:p w:rsidR="004657AB" w:rsidRDefault="004657AB" w:rsidP="004657AB">
      <w:pPr>
        <w:jc w:val="both"/>
      </w:pPr>
    </w:p>
    <w:p w:rsidR="004657AB" w:rsidRDefault="004657AB" w:rsidP="004657AB">
      <w:pPr>
        <w:jc w:val="both"/>
      </w:pPr>
    </w:p>
    <w:p w:rsidR="004657AB" w:rsidRPr="008D4641" w:rsidRDefault="004657AB" w:rsidP="004657AB">
      <w:pPr>
        <w:jc w:val="both"/>
      </w:pPr>
      <w:bookmarkStart w:id="0" w:name="_GoBack"/>
      <w:bookmarkEnd w:id="0"/>
      <w:r w:rsidRPr="008D4641">
        <w:t xml:space="preserve">………….…dnia……………                                                                                                                                                                                                                                </w:t>
      </w:r>
    </w:p>
    <w:p w:rsidR="004657AB" w:rsidRPr="008A2069" w:rsidRDefault="004657AB" w:rsidP="004657AB">
      <w:pPr>
        <w:ind w:left="9072"/>
        <w:jc w:val="center"/>
        <w:rPr>
          <w:sz w:val="16"/>
          <w:szCs w:val="16"/>
        </w:rPr>
      </w:pPr>
      <w:r w:rsidRPr="008A2069">
        <w:rPr>
          <w:sz w:val="16"/>
          <w:szCs w:val="16"/>
        </w:rPr>
        <w:t>podpis i  pieczęć  osób wskazanych w dokumencie</w:t>
      </w:r>
    </w:p>
    <w:p w:rsidR="004657AB" w:rsidRPr="008A2069" w:rsidRDefault="004657AB" w:rsidP="004657AB">
      <w:pPr>
        <w:ind w:left="9072"/>
        <w:jc w:val="center"/>
        <w:rPr>
          <w:sz w:val="16"/>
          <w:szCs w:val="16"/>
        </w:rPr>
      </w:pPr>
      <w:r w:rsidRPr="008A2069">
        <w:rPr>
          <w:sz w:val="16"/>
          <w:szCs w:val="16"/>
        </w:rPr>
        <w:t>uprawniającym do występowania w obrocie prawnym lub</w:t>
      </w:r>
    </w:p>
    <w:p w:rsidR="004657AB" w:rsidRPr="008A2069" w:rsidRDefault="004657AB" w:rsidP="004657AB">
      <w:pPr>
        <w:pStyle w:val="Tekstpodstawowywcity"/>
        <w:ind w:left="9072"/>
        <w:jc w:val="center"/>
        <w:rPr>
          <w:b/>
          <w:sz w:val="16"/>
          <w:szCs w:val="16"/>
        </w:rPr>
      </w:pPr>
      <w:r w:rsidRPr="008A2069">
        <w:rPr>
          <w:sz w:val="16"/>
          <w:szCs w:val="16"/>
        </w:rPr>
        <w:t>posiadających pełnomocnictwo</w:t>
      </w:r>
    </w:p>
    <w:p w:rsidR="00F700B5" w:rsidRDefault="00F700B5"/>
    <w:sectPr w:rsidR="00F700B5" w:rsidSect="004657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95E36"/>
    <w:multiLevelType w:val="hybridMultilevel"/>
    <w:tmpl w:val="18828F76"/>
    <w:lvl w:ilvl="0" w:tplc="08784EF2">
      <w:start w:val="1"/>
      <w:numFmt w:val="decimal"/>
      <w:lvlText w:val="%1."/>
      <w:lvlJc w:val="left"/>
      <w:pPr>
        <w:ind w:left="686" w:hanging="360"/>
      </w:pPr>
      <w:rPr>
        <w:rFonts w:cs="Times New Roman"/>
        <w:sz w:val="18"/>
        <w:szCs w:val="18"/>
      </w:rPr>
    </w:lvl>
    <w:lvl w:ilvl="1" w:tplc="04150019">
      <w:start w:val="1"/>
      <w:numFmt w:val="lowerLetter"/>
      <w:lvlText w:val="%2."/>
      <w:lvlJc w:val="left"/>
      <w:pPr>
        <w:ind w:left="1406" w:hanging="360"/>
      </w:pPr>
      <w:rPr>
        <w:rFonts w:cs="Times New Roman"/>
      </w:rPr>
    </w:lvl>
    <w:lvl w:ilvl="2" w:tplc="0415001B">
      <w:start w:val="1"/>
      <w:numFmt w:val="lowerRoman"/>
      <w:lvlText w:val="%3."/>
      <w:lvlJc w:val="right"/>
      <w:pPr>
        <w:ind w:left="2126" w:hanging="180"/>
      </w:pPr>
      <w:rPr>
        <w:rFonts w:cs="Times New Roman"/>
      </w:rPr>
    </w:lvl>
    <w:lvl w:ilvl="3" w:tplc="0415000F">
      <w:start w:val="1"/>
      <w:numFmt w:val="decimal"/>
      <w:lvlText w:val="%4."/>
      <w:lvlJc w:val="left"/>
      <w:pPr>
        <w:ind w:left="2846" w:hanging="360"/>
      </w:pPr>
      <w:rPr>
        <w:rFonts w:cs="Times New Roman"/>
      </w:rPr>
    </w:lvl>
    <w:lvl w:ilvl="4" w:tplc="04150019">
      <w:start w:val="1"/>
      <w:numFmt w:val="lowerLetter"/>
      <w:lvlText w:val="%5."/>
      <w:lvlJc w:val="left"/>
      <w:pPr>
        <w:ind w:left="3566" w:hanging="360"/>
      </w:pPr>
      <w:rPr>
        <w:rFonts w:cs="Times New Roman"/>
      </w:rPr>
    </w:lvl>
    <w:lvl w:ilvl="5" w:tplc="0415001B">
      <w:start w:val="1"/>
      <w:numFmt w:val="lowerRoman"/>
      <w:lvlText w:val="%6."/>
      <w:lvlJc w:val="right"/>
      <w:pPr>
        <w:ind w:left="4286" w:hanging="180"/>
      </w:pPr>
      <w:rPr>
        <w:rFonts w:cs="Times New Roman"/>
      </w:rPr>
    </w:lvl>
    <w:lvl w:ilvl="6" w:tplc="0415000F">
      <w:start w:val="1"/>
      <w:numFmt w:val="decimal"/>
      <w:lvlText w:val="%7."/>
      <w:lvlJc w:val="left"/>
      <w:pPr>
        <w:ind w:left="5006" w:hanging="360"/>
      </w:pPr>
      <w:rPr>
        <w:rFonts w:cs="Times New Roman"/>
      </w:rPr>
    </w:lvl>
    <w:lvl w:ilvl="7" w:tplc="04150019">
      <w:start w:val="1"/>
      <w:numFmt w:val="lowerLetter"/>
      <w:lvlText w:val="%8."/>
      <w:lvlJc w:val="left"/>
      <w:pPr>
        <w:ind w:left="5726" w:hanging="360"/>
      </w:pPr>
      <w:rPr>
        <w:rFonts w:cs="Times New Roman"/>
      </w:rPr>
    </w:lvl>
    <w:lvl w:ilvl="8" w:tplc="0415001B">
      <w:start w:val="1"/>
      <w:numFmt w:val="lowerRoman"/>
      <w:lvlText w:val="%9."/>
      <w:lvlJc w:val="right"/>
      <w:pPr>
        <w:ind w:left="644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AB"/>
    <w:rsid w:val="004657AB"/>
    <w:rsid w:val="00F70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DCF6"/>
  <w15:chartTrackingRefBased/>
  <w15:docId w15:val="{6A793291-E3B1-4B30-A8C8-41493508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7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rsid w:val="004657AB"/>
    <w:pPr>
      <w:spacing w:after="120"/>
      <w:ind w:left="283"/>
    </w:pPr>
  </w:style>
  <w:style w:type="character" w:customStyle="1" w:styleId="TekstpodstawowywcityZnak">
    <w:name w:val="Tekst podstawowy wcięty Znak"/>
    <w:basedOn w:val="Domylnaczcionkaakapitu"/>
    <w:uiPriority w:val="99"/>
    <w:semiHidden/>
    <w:rsid w:val="004657AB"/>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rsid w:val="004657A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57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7A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1</cp:revision>
  <cp:lastPrinted>2017-02-22T08:12:00Z</cp:lastPrinted>
  <dcterms:created xsi:type="dcterms:W3CDTF">2017-02-22T08:04:00Z</dcterms:created>
  <dcterms:modified xsi:type="dcterms:W3CDTF">2017-02-22T08:14:00Z</dcterms:modified>
</cp:coreProperties>
</file>